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A717E">
      <w:pPr>
        <w:pStyle w:val="2"/>
        <w:keepNext w:val="0"/>
        <w:keepLines w:val="0"/>
        <w:pageBreakBefore w:val="0"/>
        <w:widowControl w:val="0"/>
        <w:kinsoku/>
        <w:overflowPunct/>
        <w:topLinePunct w:val="0"/>
        <w:autoSpaceDE/>
        <w:autoSpaceDN/>
        <w:bidi w:val="0"/>
        <w:spacing w:after="0" w:line="560" w:lineRule="exact"/>
        <w:textAlignment w:val="auto"/>
        <w:rPr>
          <w:rFonts w:hint="default" w:ascii="Times New Roman" w:hAnsi="Times New Roman" w:cs="Times New Roman"/>
          <w:spacing w:val="0"/>
        </w:rPr>
      </w:pPr>
      <w:r>
        <w:rPr>
          <w:rFonts w:hint="default" w:ascii="黑体" w:hAnsi="黑体" w:eastAsia="黑体" w:cs="黑体"/>
          <w:spacing w:val="0"/>
        </w:rPr>
        <w:t>附件</w:t>
      </w:r>
      <w:r>
        <w:rPr>
          <w:rFonts w:hint="eastAsia" w:ascii="黑体" w:hAnsi="黑体" w:eastAsia="黑体" w:cs="黑体"/>
          <w:spacing w:val="0"/>
          <w:lang w:val="en-US" w:eastAsia="zh-CN"/>
        </w:rPr>
        <w:t>2</w:t>
      </w:r>
    </w:p>
    <w:p w14:paraId="12A6771A">
      <w:pPr>
        <w:spacing w:line="580" w:lineRule="exact"/>
        <w:rPr>
          <w:rFonts w:hint="default" w:ascii="Times New Roman" w:hAnsi="Times New Roman" w:cs="Times New Roman"/>
          <w:spacing w:val="0"/>
        </w:rPr>
      </w:pPr>
    </w:p>
    <w:p w14:paraId="7FB73DDF">
      <w:pPr>
        <w:spacing w:line="640" w:lineRule="exact"/>
        <w:jc w:val="center"/>
        <w:rPr>
          <w:rFonts w:hint="eastAsia" w:eastAsia="方正小标宋简体"/>
          <w:spacing w:val="-11"/>
          <w:sz w:val="44"/>
          <w:szCs w:val="44"/>
        </w:rPr>
      </w:pPr>
      <w:r>
        <w:rPr>
          <w:rFonts w:hint="eastAsia" w:eastAsia="方正小标宋简体"/>
          <w:spacing w:val="-11"/>
          <w:sz w:val="44"/>
          <w:szCs w:val="44"/>
          <w:lang w:eastAsia="zh-CN"/>
        </w:rPr>
        <w:t>深圳市第十</w:t>
      </w:r>
      <w:r>
        <w:rPr>
          <w:rFonts w:hint="eastAsia" w:eastAsia="方正小标宋简体"/>
          <w:spacing w:val="-11"/>
          <w:sz w:val="44"/>
          <w:szCs w:val="44"/>
          <w:lang w:val="en-US" w:eastAsia="zh-CN"/>
        </w:rPr>
        <w:t>六</w:t>
      </w:r>
      <w:r>
        <w:rPr>
          <w:rFonts w:hint="eastAsia" w:eastAsia="方正小标宋简体"/>
          <w:spacing w:val="-11"/>
          <w:sz w:val="44"/>
          <w:szCs w:val="44"/>
          <w:lang w:eastAsia="zh-CN"/>
        </w:rPr>
        <w:t>届</w:t>
      </w:r>
      <w:r>
        <w:rPr>
          <w:rFonts w:hint="eastAsia" w:eastAsia="方正小标宋简体"/>
          <w:spacing w:val="-11"/>
          <w:sz w:val="44"/>
          <w:szCs w:val="44"/>
        </w:rPr>
        <w:t>职工技术创新运动会暨</w:t>
      </w:r>
      <w:r>
        <w:rPr>
          <w:rFonts w:hint="eastAsia" w:eastAsia="方正小标宋简体"/>
          <w:spacing w:val="-11"/>
          <w:sz w:val="44"/>
          <w:szCs w:val="44"/>
          <w:lang w:eastAsia="zh-CN"/>
        </w:rPr>
        <w:t>202</w:t>
      </w:r>
      <w:r>
        <w:rPr>
          <w:rFonts w:hint="eastAsia" w:eastAsia="方正小标宋简体"/>
          <w:spacing w:val="-11"/>
          <w:sz w:val="44"/>
          <w:szCs w:val="44"/>
          <w:lang w:val="en-US" w:eastAsia="zh-CN"/>
        </w:rPr>
        <w:t>6</w:t>
      </w:r>
      <w:r>
        <w:rPr>
          <w:rFonts w:hint="eastAsia" w:eastAsia="方正小标宋简体"/>
          <w:spacing w:val="-11"/>
          <w:sz w:val="44"/>
          <w:szCs w:val="44"/>
          <w:lang w:eastAsia="zh-CN"/>
        </w:rPr>
        <w:t>年</w:t>
      </w:r>
      <w:r>
        <w:rPr>
          <w:rFonts w:hint="eastAsia" w:eastAsia="方正小标宋简体"/>
          <w:spacing w:val="-11"/>
          <w:sz w:val="44"/>
          <w:szCs w:val="44"/>
        </w:rPr>
        <w:t>深圳技能大赛—</w:t>
      </w:r>
      <w:r>
        <w:rPr>
          <w:rFonts w:hint="eastAsia" w:eastAsia="方正小标宋简体"/>
          <w:spacing w:val="-11"/>
          <w:sz w:val="44"/>
          <w:szCs w:val="44"/>
          <w:lang w:val="en-US" w:eastAsia="zh-CN"/>
        </w:rPr>
        <w:t>环境监测员</w:t>
      </w:r>
      <w:r>
        <w:rPr>
          <w:rFonts w:hint="eastAsia" w:eastAsia="方正小标宋简体"/>
          <w:spacing w:val="-11"/>
          <w:sz w:val="44"/>
          <w:szCs w:val="44"/>
        </w:rPr>
        <w:t>技能竞赛</w:t>
      </w:r>
    </w:p>
    <w:p w14:paraId="6FB97470">
      <w:pPr>
        <w:spacing w:line="640" w:lineRule="exact"/>
        <w:jc w:val="center"/>
        <w:rPr>
          <w:rFonts w:hint="eastAsia" w:eastAsia="方正小标宋简体"/>
          <w:spacing w:val="-11"/>
          <w:sz w:val="44"/>
          <w:szCs w:val="44"/>
        </w:rPr>
      </w:pPr>
      <w:r>
        <w:rPr>
          <w:rFonts w:hint="eastAsia" w:eastAsia="方正小标宋简体"/>
          <w:spacing w:val="-11"/>
          <w:sz w:val="44"/>
          <w:szCs w:val="44"/>
        </w:rPr>
        <w:t>技术方案</w:t>
      </w:r>
    </w:p>
    <w:p w14:paraId="2B40E207">
      <w:pPr>
        <w:spacing w:line="240" w:lineRule="auto"/>
        <w:ind w:firstLine="680" w:firstLineChars="200"/>
        <w:jc w:val="left"/>
      </w:pPr>
    </w:p>
    <w:p w14:paraId="49822441">
      <w:pPr>
        <w:spacing w:line="560" w:lineRule="exact"/>
        <w:ind w:firstLine="680" w:firstLineChars="200"/>
        <w:jc w:val="both"/>
        <w:rPr>
          <w:rFonts w:hint="default" w:ascii="Times New Roman" w:hAnsi="Times New Roman" w:eastAsia="黑体" w:cs="Times New Roman"/>
        </w:rPr>
      </w:pPr>
      <w:r>
        <w:rPr>
          <w:rFonts w:hint="default" w:ascii="Times New Roman" w:hAnsi="Times New Roman" w:eastAsia="黑体" w:cs="Times New Roman"/>
        </w:rPr>
        <w:t>一、竞赛项目及内容</w:t>
      </w:r>
    </w:p>
    <w:p w14:paraId="50448946">
      <w:pPr>
        <w:spacing w:line="560" w:lineRule="exact"/>
        <w:ind w:firstLine="680" w:firstLineChars="200"/>
        <w:jc w:val="both"/>
        <w:rPr>
          <w:rFonts w:hint="default" w:ascii="Times New Roman" w:hAnsi="Times New Roman" w:eastAsia="楷体_GB2312" w:cs="Times New Roman"/>
          <w:color w:val="auto"/>
        </w:rPr>
      </w:pPr>
      <w:r>
        <w:rPr>
          <w:rFonts w:hint="default" w:ascii="Times New Roman" w:hAnsi="Times New Roman" w:eastAsia="楷体_GB2312" w:cs="Times New Roman"/>
          <w:color w:val="auto"/>
        </w:rPr>
        <w:t>（一）竞赛项目概要</w:t>
      </w:r>
    </w:p>
    <w:p w14:paraId="734966FB">
      <w:pPr>
        <w:spacing w:line="560" w:lineRule="exact"/>
        <w:ind w:firstLine="680" w:firstLineChars="200"/>
        <w:jc w:val="both"/>
        <w:rPr>
          <w:rFonts w:hint="eastAsia" w:ascii="Times New Roman" w:hAnsi="Times New Roman" w:eastAsia="仿宋_GB2312" w:cs="Times New Roman"/>
          <w:color w:val="FF0000"/>
          <w:lang w:eastAsia="zh-CN"/>
        </w:rPr>
      </w:pPr>
      <w:r>
        <w:rPr>
          <w:rFonts w:hint="default" w:ascii="Times New Roman" w:hAnsi="Times New Roman" w:eastAsia="仿宋_GB2312" w:cs="Times New Roman"/>
          <w:color w:val="auto"/>
          <w:szCs w:val="32"/>
        </w:rPr>
        <w:t>环境监测员项目是通过使用电化学法、光度法、色谱法等常用水质检测设备，对地表水、地下水、工业废水等各类水体中的关键水质指标进行定性定量检测，全面考查选手对于水环境监测技术、质量保证与质量控制、综合评价等基本概念、基础知识、实操技能，同步考查选手对水质检测机构管理体系的建设与运行要求。</w:t>
      </w:r>
    </w:p>
    <w:p w14:paraId="05E3468F">
      <w:pPr>
        <w:pStyle w:val="10"/>
        <w:numPr>
          <w:ilvl w:val="0"/>
          <w:numId w:val="1"/>
        </w:numPr>
        <w:spacing w:after="0"/>
        <w:ind w:firstLine="680"/>
        <w:rPr>
          <w:rFonts w:hint="default" w:ascii="Times New Roman" w:hAnsi="Times New Roman" w:eastAsia="楷体_GB2312" w:cs="Times New Roman"/>
        </w:rPr>
      </w:pPr>
      <w:r>
        <w:rPr>
          <w:rFonts w:hint="default" w:ascii="Times New Roman" w:hAnsi="Times New Roman" w:eastAsia="楷体_GB2312" w:cs="Times New Roman"/>
        </w:rPr>
        <w:t>竞赛标准</w:t>
      </w:r>
    </w:p>
    <w:p w14:paraId="4D00B4D2">
      <w:pPr>
        <w:spacing w:line="560" w:lineRule="exact"/>
        <w:ind w:firstLine="704" w:firstLineChars="200"/>
        <w:jc w:val="both"/>
        <w:rPr>
          <w:rFonts w:hint="default" w:ascii="Times New Roman" w:hAnsi="Times New Roman" w:eastAsia="仿宋_GB2312" w:cs="Times New Roman"/>
          <w:spacing w:val="0"/>
        </w:rPr>
      </w:pPr>
      <w:r>
        <w:rPr>
          <w:rFonts w:hint="default" w:ascii="Times New Roman" w:hAnsi="Times New Roman" w:eastAsia="仿宋_GB2312" w:cs="Times New Roman"/>
          <w:spacing w:val="0"/>
        </w:rPr>
        <w:t>以</w:t>
      </w:r>
      <w:r>
        <w:rPr>
          <w:rFonts w:hint="eastAsia" w:cs="Times New Roman"/>
          <w:spacing w:val="0"/>
          <w:lang w:eastAsia="zh-CN"/>
        </w:rPr>
        <w:t>《</w:t>
      </w:r>
      <w:r>
        <w:rPr>
          <w:rFonts w:hint="default" w:ascii="Times New Roman" w:hAnsi="Times New Roman" w:eastAsia="仿宋_GB2312" w:cs="Times New Roman"/>
          <w:spacing w:val="0"/>
        </w:rPr>
        <w:t>国家职业技能标准环境监测员</w:t>
      </w:r>
      <w:r>
        <w:rPr>
          <w:rFonts w:hint="eastAsia" w:cs="Times New Roman"/>
          <w:spacing w:val="0"/>
          <w:lang w:eastAsia="zh-CN"/>
        </w:rPr>
        <w:t>》</w:t>
      </w:r>
      <w:r>
        <w:rPr>
          <w:rFonts w:hint="default"/>
          <w:lang w:eastAsia="zh-CN"/>
        </w:rPr>
        <w:t>（</w:t>
      </w:r>
      <w:r>
        <w:rPr>
          <w:rFonts w:hint="eastAsia"/>
          <w:lang w:val="en-US" w:eastAsia="zh-CN"/>
        </w:rPr>
        <w:t>2026年版</w:t>
      </w:r>
      <w:r>
        <w:rPr>
          <w:rFonts w:hint="default"/>
          <w:lang w:eastAsia="zh-CN"/>
        </w:rPr>
        <w:t>）</w:t>
      </w:r>
      <w:r>
        <w:rPr>
          <w:rFonts w:hint="eastAsia" w:cs="Times New Roman"/>
          <w:spacing w:val="0"/>
          <w:lang w:val="en-US" w:eastAsia="zh-CN"/>
        </w:rPr>
        <w:t>高级工（</w:t>
      </w:r>
      <w:r>
        <w:rPr>
          <w:rFonts w:hint="default" w:ascii="Times New Roman" w:hAnsi="Times New Roman" w:cs="Times New Roman"/>
          <w:spacing w:val="0"/>
        </w:rPr>
        <w:t>国家职业资格三级</w:t>
      </w:r>
      <w:r>
        <w:rPr>
          <w:rFonts w:hint="eastAsia" w:cs="Times New Roman"/>
          <w:spacing w:val="0"/>
          <w:lang w:val="en-US" w:eastAsia="zh-CN"/>
        </w:rPr>
        <w:t>）</w:t>
      </w:r>
      <w:r>
        <w:rPr>
          <w:rFonts w:hint="default" w:ascii="Times New Roman" w:hAnsi="Times New Roman" w:eastAsia="仿宋_GB2312" w:cs="Times New Roman"/>
          <w:spacing w:val="0"/>
        </w:rPr>
        <w:t>为基础，结合实际适当增加新知识、新技术、新设备、新技能等相关内容，由执委会统一组织命题。</w:t>
      </w:r>
    </w:p>
    <w:p w14:paraId="5C20913D">
      <w:pPr>
        <w:spacing w:line="560" w:lineRule="exact"/>
        <w:ind w:firstLine="680" w:firstLineChars="200"/>
        <w:jc w:val="both"/>
        <w:rPr>
          <w:rFonts w:hint="default" w:ascii="Times New Roman" w:hAnsi="Times New Roman" w:eastAsia="楷体_GB2312" w:cs="Times New Roman"/>
        </w:rPr>
      </w:pPr>
      <w:r>
        <w:rPr>
          <w:rFonts w:hint="default" w:ascii="Times New Roman" w:hAnsi="Times New Roman" w:eastAsia="楷体_GB2312" w:cs="Times New Roman"/>
        </w:rPr>
        <w:t>（三）竞赛方式与内容</w:t>
      </w:r>
    </w:p>
    <w:p w14:paraId="2E489AE7">
      <w:pPr>
        <w:spacing w:line="560" w:lineRule="exact"/>
        <w:ind w:firstLine="680" w:firstLineChars="200"/>
        <w:jc w:val="both"/>
        <w:rPr>
          <w:rFonts w:hint="default" w:ascii="Times New Roman" w:hAnsi="Times New Roman" w:eastAsia="仿宋_GB2312" w:cs="Times New Roman"/>
        </w:rPr>
      </w:pPr>
      <w:r>
        <w:rPr>
          <w:rFonts w:hint="default" w:ascii="Times New Roman" w:hAnsi="Times New Roman" w:eastAsia="仿宋_GB2312" w:cs="Times New Roman"/>
        </w:rPr>
        <w:t>本次竞赛分为</w:t>
      </w:r>
      <w:r>
        <w:rPr>
          <w:rFonts w:hint="default" w:ascii="Times New Roman" w:hAnsi="Times New Roman" w:cs="Times New Roman"/>
          <w:lang w:eastAsia="zh-CN"/>
        </w:rPr>
        <w:t>初赛</w:t>
      </w:r>
      <w:r>
        <w:rPr>
          <w:rFonts w:hint="default" w:ascii="Times New Roman" w:hAnsi="Times New Roman" w:eastAsia="仿宋_GB2312" w:cs="Times New Roman"/>
        </w:rPr>
        <w:t>和决赛，其中</w:t>
      </w:r>
      <w:r>
        <w:rPr>
          <w:rFonts w:hint="default" w:ascii="Times New Roman" w:hAnsi="Times New Roman" w:cs="Times New Roman"/>
          <w:lang w:eastAsia="zh-CN"/>
        </w:rPr>
        <w:t>初赛</w:t>
      </w:r>
      <w:r>
        <w:rPr>
          <w:rFonts w:hint="default" w:ascii="Times New Roman" w:hAnsi="Times New Roman" w:eastAsia="仿宋_GB2312" w:cs="Times New Roman"/>
        </w:rPr>
        <w:t>为理论知识竞赛，决赛为</w:t>
      </w:r>
      <w:r>
        <w:rPr>
          <w:rFonts w:hint="default" w:ascii="Times New Roman" w:hAnsi="Times New Roman" w:eastAsia="仿宋_GB2312" w:cs="Times New Roman"/>
          <w:szCs w:val="32"/>
        </w:rPr>
        <w:t>实际操作竞赛</w:t>
      </w:r>
      <w:r>
        <w:rPr>
          <w:rFonts w:hint="default" w:ascii="Times New Roman" w:hAnsi="Times New Roman" w:eastAsia="仿宋_GB2312" w:cs="Times New Roman"/>
        </w:rPr>
        <w:t>。</w:t>
      </w:r>
    </w:p>
    <w:p w14:paraId="02EFBFA9">
      <w:pPr>
        <w:numPr>
          <w:ilvl w:val="0"/>
          <w:numId w:val="2"/>
        </w:numPr>
        <w:spacing w:line="560" w:lineRule="exact"/>
        <w:ind w:firstLine="680" w:firstLineChars="200"/>
        <w:rPr>
          <w:rFonts w:hint="default" w:ascii="Times New Roman" w:hAnsi="Times New Roman" w:eastAsia="仿宋_GB2312" w:cs="Times New Roman"/>
          <w:color w:val="auto"/>
        </w:rPr>
      </w:pPr>
      <w:r>
        <w:rPr>
          <w:rFonts w:hint="default" w:ascii="Times New Roman" w:hAnsi="Times New Roman" w:cs="Times New Roman"/>
          <w:lang w:eastAsia="zh-CN"/>
        </w:rPr>
        <w:t>初赛</w:t>
      </w:r>
      <w:r>
        <w:rPr>
          <w:rFonts w:hint="default" w:ascii="Times New Roman" w:hAnsi="Times New Roman" w:eastAsia="仿宋_GB2312" w:cs="Times New Roman"/>
          <w:lang w:eastAsia="zh-CN"/>
        </w:rPr>
        <w:t>以</w:t>
      </w:r>
      <w:r>
        <w:rPr>
          <w:rFonts w:hint="default" w:ascii="Times New Roman" w:hAnsi="Times New Roman" w:eastAsia="仿宋_GB2312" w:cs="Times New Roman"/>
        </w:rPr>
        <w:t>理论知识竞赛</w:t>
      </w:r>
      <w:r>
        <w:rPr>
          <w:rFonts w:hint="default" w:ascii="Times New Roman" w:hAnsi="Times New Roman" w:eastAsia="仿宋_GB2312" w:cs="Times New Roman"/>
          <w:lang w:eastAsia="zh-CN"/>
        </w:rPr>
        <w:t>方式进行，</w:t>
      </w:r>
      <w:r>
        <w:rPr>
          <w:rFonts w:hint="default" w:ascii="Times New Roman" w:hAnsi="Times New Roman" w:eastAsia="仿宋_GB2312" w:cs="Times New Roman"/>
          <w:color w:val="000000" w:themeColor="text1"/>
          <w14:textFill>
            <w14:solidFill>
              <w14:schemeClr w14:val="tx1"/>
            </w14:solidFill>
          </w14:textFill>
        </w:rPr>
        <w:t>时间共</w:t>
      </w:r>
      <w:r>
        <w:rPr>
          <w:rFonts w:hint="eastAsia" w:cs="Times New Roman"/>
          <w:color w:val="000000" w:themeColor="text1"/>
          <w:lang w:val="en-US" w:eastAsia="zh-CN"/>
          <w14:textFill>
            <w14:solidFill>
              <w14:schemeClr w14:val="tx1"/>
            </w14:solidFill>
          </w14:textFill>
        </w:rPr>
        <w:t>90</w:t>
      </w:r>
      <w:r>
        <w:rPr>
          <w:rFonts w:hint="default" w:ascii="Times New Roman" w:hAnsi="Times New Roman" w:eastAsia="仿宋_GB2312" w:cs="Times New Roman"/>
          <w:color w:val="000000" w:themeColor="text1"/>
          <w14:textFill>
            <w14:solidFill>
              <w14:schemeClr w14:val="tx1"/>
            </w14:solidFill>
          </w14:textFill>
        </w:rPr>
        <w:t>分钟，满分为100分</w:t>
      </w:r>
      <w:r>
        <w:rPr>
          <w:rFonts w:hint="eastAsia" w:cs="Times New Roman"/>
          <w:color w:val="000000" w:themeColor="text1"/>
          <w:lang w:eastAsia="zh-CN"/>
          <w14:textFill>
            <w14:solidFill>
              <w14:schemeClr w14:val="tx1"/>
            </w14:solidFill>
          </w14:textFill>
        </w:rPr>
        <w:t>，</w:t>
      </w:r>
      <w:r>
        <w:rPr>
          <w:rFonts w:hint="default" w:ascii="Times New Roman" w:hAnsi="Times New Roman" w:eastAsia="仿宋_GB2312" w:cs="Times New Roman"/>
        </w:rPr>
        <w:t>使用</w:t>
      </w:r>
      <w:r>
        <w:rPr>
          <w:rFonts w:hint="default" w:ascii="Times New Roman" w:hAnsi="Times New Roman" w:eastAsia="仿宋_GB2312" w:cs="Times New Roman"/>
          <w:color w:val="auto"/>
        </w:rPr>
        <w:t>计算机上机作答</w:t>
      </w:r>
      <w:r>
        <w:rPr>
          <w:rFonts w:hint="default" w:ascii="Times New Roman" w:hAnsi="Times New Roman" w:eastAsia="仿宋_GB2312" w:cs="Times New Roman"/>
        </w:rPr>
        <w:t>形式进行考核。执委会组织专家参照竞赛</w:t>
      </w:r>
      <w:r>
        <w:rPr>
          <w:rFonts w:hint="eastAsia" w:cs="Times New Roman"/>
          <w:lang w:val="en-US" w:eastAsia="zh-CN"/>
        </w:rPr>
        <w:t>标准编制600道理论题库，</w:t>
      </w:r>
      <w:r>
        <w:rPr>
          <w:rFonts w:hint="eastAsia" w:cs="Times New Roman"/>
          <w:color w:val="000000" w:themeColor="text1"/>
          <w:lang w:val="en-US" w:eastAsia="zh-CN"/>
          <w14:textFill>
            <w14:solidFill>
              <w14:schemeClr w14:val="tx1"/>
            </w14:solidFill>
          </w14:textFill>
        </w:rPr>
        <w:t>在</w:t>
      </w:r>
      <w:r>
        <w:rPr>
          <w:rFonts w:hint="default" w:ascii="Times New Roman" w:hAnsi="Times New Roman" w:cs="Times New Roman"/>
          <w:color w:val="auto"/>
          <w:spacing w:val="0"/>
        </w:rPr>
        <w:t>深圳市职工技术创新运动会智慧服务平台</w:t>
      </w:r>
      <w:r>
        <w:rPr>
          <w:rFonts w:hint="eastAsia" w:cs="Times New Roman"/>
          <w:color w:val="000000" w:themeColor="text1"/>
          <w:lang w:val="en-US" w:eastAsia="zh-CN"/>
          <w14:textFill>
            <w14:solidFill>
              <w14:schemeClr w14:val="tx1"/>
            </w14:solidFill>
          </w14:textFill>
        </w:rPr>
        <w:t>“技能竞赛总览-复习资料”处公布。</w:t>
      </w:r>
      <w:r>
        <w:rPr>
          <w:rFonts w:hint="eastAsia" w:cs="Times New Roman"/>
          <w:color w:val="auto"/>
          <w:lang w:val="en-US" w:eastAsia="zh-CN"/>
        </w:rPr>
        <w:t>执委会按竞赛范围，从600道理论题库中随机抽取70道赛题，现场编制30道赛题，组成100道正式赛题。</w:t>
      </w:r>
    </w:p>
    <w:p w14:paraId="5CDAD730">
      <w:pPr>
        <w:numPr>
          <w:ilvl w:val="0"/>
          <w:numId w:val="0"/>
        </w:numPr>
        <w:spacing w:line="560" w:lineRule="exact"/>
        <w:ind w:firstLine="680" w:firstLineChars="200"/>
        <w:rPr>
          <w:rFonts w:hint="default"/>
        </w:rPr>
      </w:pPr>
      <w:r>
        <w:rPr>
          <w:rFonts w:hint="default" w:ascii="Times New Roman" w:hAnsi="Times New Roman" w:eastAsia="仿宋_GB2312" w:cs="Times New Roman"/>
        </w:rPr>
        <w:t>竞赛范围如下：</w:t>
      </w:r>
      <w:r>
        <w:rPr>
          <w:rFonts w:hint="default"/>
        </w:rPr>
        <w:t>主要包括水环境介质样品采集、制备、处理和净化、保存、测试、评价等基本内容，手工和自动监测技术方法的基本原理及其应用，水环境监测全过程质量保证和质量控制技术措施及应用，检测机构管理体系的建设与运行要求。</w:t>
      </w:r>
    </w:p>
    <w:tbl>
      <w:tblPr>
        <w:tblStyle w:val="1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3"/>
        <w:gridCol w:w="2114"/>
        <w:gridCol w:w="5928"/>
      </w:tblGrid>
      <w:tr w14:paraId="7D98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14:paraId="7569EBDF">
            <w:pPr>
              <w:spacing w:line="0" w:lineRule="atLeast"/>
              <w:jc w:val="center"/>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序号</w:t>
            </w:r>
          </w:p>
        </w:tc>
        <w:tc>
          <w:tcPr>
            <w:tcW w:w="1167" w:type="pct"/>
            <w:tcBorders>
              <w:top w:val="single" w:color="auto" w:sz="4" w:space="0"/>
              <w:left w:val="single" w:color="auto" w:sz="4" w:space="0"/>
              <w:bottom w:val="single" w:color="auto" w:sz="4" w:space="0"/>
              <w:right w:val="single" w:color="auto" w:sz="4" w:space="0"/>
            </w:tcBorders>
            <w:vAlign w:val="center"/>
          </w:tcPr>
          <w:p w14:paraId="1D09C280">
            <w:pPr>
              <w:spacing w:line="0" w:lineRule="atLeast"/>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竞赛范围</w:t>
            </w:r>
          </w:p>
        </w:tc>
        <w:tc>
          <w:tcPr>
            <w:tcW w:w="3272" w:type="pct"/>
            <w:tcBorders>
              <w:top w:val="single" w:color="auto" w:sz="4" w:space="0"/>
              <w:left w:val="single" w:color="auto" w:sz="4" w:space="0"/>
              <w:bottom w:val="single" w:color="auto" w:sz="4" w:space="0"/>
              <w:right w:val="single" w:color="auto" w:sz="4" w:space="0"/>
            </w:tcBorders>
            <w:vAlign w:val="center"/>
          </w:tcPr>
          <w:p w14:paraId="32B2720F">
            <w:pPr>
              <w:spacing w:line="0" w:lineRule="atLeast"/>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具体内容</w:t>
            </w:r>
          </w:p>
        </w:tc>
      </w:tr>
      <w:tr w14:paraId="15616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9" w:type="pct"/>
            <w:tcBorders>
              <w:top w:val="single" w:color="auto" w:sz="4" w:space="0"/>
              <w:left w:val="single" w:color="auto" w:sz="4" w:space="0"/>
              <w:right w:val="single" w:color="auto" w:sz="4" w:space="0"/>
            </w:tcBorders>
            <w:vAlign w:val="center"/>
          </w:tcPr>
          <w:p w14:paraId="5C13BDFD">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1167" w:type="pct"/>
            <w:tcBorders>
              <w:top w:val="single" w:color="auto" w:sz="4" w:space="0"/>
              <w:left w:val="single" w:color="auto" w:sz="4" w:space="0"/>
              <w:right w:val="single" w:color="auto" w:sz="4" w:space="0"/>
            </w:tcBorders>
            <w:vAlign w:val="center"/>
          </w:tcPr>
          <w:p w14:paraId="4531307C">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法律法规与形势政策</w:t>
            </w:r>
          </w:p>
        </w:tc>
        <w:tc>
          <w:tcPr>
            <w:tcW w:w="3272" w:type="pct"/>
            <w:tcBorders>
              <w:top w:val="single" w:color="auto" w:sz="4" w:space="0"/>
              <w:left w:val="single" w:color="auto" w:sz="4" w:space="0"/>
              <w:bottom w:val="single" w:color="auto" w:sz="4" w:space="0"/>
              <w:right w:val="single" w:color="auto" w:sz="4" w:space="0"/>
            </w:tcBorders>
            <w:vAlign w:val="center"/>
          </w:tcPr>
          <w:p w14:paraId="7B1B029E">
            <w:pPr>
              <w:numPr>
                <w:ilvl w:val="0"/>
                <w:numId w:val="0"/>
              </w:numPr>
              <w:spacing w:line="0" w:lineRule="atLeast"/>
              <w:ind w:firstLine="0" w:firstLineChars="0"/>
              <w:jc w:val="left"/>
              <w:rPr>
                <w:rFonts w:hint="eastAsia" w:ascii="仿宋_GB2312" w:hAnsi="仿宋_GB2312" w:cs="仿宋_GB2312"/>
                <w:sz w:val="28"/>
                <w:szCs w:val="28"/>
              </w:rPr>
            </w:pPr>
            <w:r>
              <w:rPr>
                <w:rFonts w:hint="eastAsia" w:ascii="仿宋_GB2312" w:hAnsi="仿宋_GB2312" w:eastAsia="仿宋_GB2312" w:cs="仿宋_GB2312"/>
                <w:sz w:val="28"/>
                <w:szCs w:val="28"/>
              </w:rPr>
              <w:t>习近平生态文明思想及相关政策文件，</w:t>
            </w:r>
            <w:r>
              <w:rPr>
                <w:rFonts w:hint="eastAsia" w:ascii="仿宋_GB2312" w:hAnsi="仿宋_GB2312" w:cs="仿宋_GB2312"/>
                <w:sz w:val="28"/>
                <w:szCs w:val="28"/>
              </w:rPr>
              <w:t>生态环境法典</w:t>
            </w:r>
            <w:r>
              <w:rPr>
                <w:rFonts w:hint="eastAsia" w:ascii="仿宋_GB2312" w:hAnsi="仿宋_GB2312" w:eastAsia="仿宋_GB2312" w:cs="仿宋_GB2312"/>
                <w:sz w:val="28"/>
                <w:szCs w:val="28"/>
              </w:rPr>
              <w:t>、刑法、劳动法、劳动合同法、水法、安全生产法及安全知识、消防法、标准化法、危险化学品安全管理条例等法律法规有关环境监测内容，最高人民法院和最高人民检察院关于办理环境污染刑事案件适用法律若干问题的解释，环境监测数据弄虚作假行为判定及处理办法，国家和各级政府对环境监测工作的要求等</w:t>
            </w:r>
          </w:p>
        </w:tc>
      </w:tr>
      <w:tr w14:paraId="409AA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14:paraId="51D98D73">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1167" w:type="pct"/>
            <w:tcBorders>
              <w:top w:val="single" w:color="auto" w:sz="4" w:space="0"/>
              <w:left w:val="single" w:color="auto" w:sz="4" w:space="0"/>
              <w:bottom w:val="single" w:color="auto" w:sz="4" w:space="0"/>
              <w:right w:val="single" w:color="auto" w:sz="4" w:space="0"/>
            </w:tcBorders>
            <w:vAlign w:val="center"/>
          </w:tcPr>
          <w:p w14:paraId="69169F19">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基础知识</w:t>
            </w:r>
          </w:p>
          <w:p w14:paraId="3BB50F02">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考核</w:t>
            </w:r>
          </w:p>
        </w:tc>
        <w:tc>
          <w:tcPr>
            <w:tcW w:w="3272" w:type="pct"/>
            <w:tcBorders>
              <w:top w:val="single" w:color="auto" w:sz="4" w:space="0"/>
              <w:left w:val="single" w:color="auto" w:sz="4" w:space="0"/>
              <w:bottom w:val="single" w:color="auto" w:sz="4" w:space="0"/>
              <w:right w:val="single" w:color="auto" w:sz="4" w:space="0"/>
            </w:tcBorders>
            <w:vAlign w:val="center"/>
          </w:tcPr>
          <w:p w14:paraId="67987D23">
            <w:pPr>
              <w:spacing w:line="0" w:lineRule="atLeas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监测基础知识、实验室基础知识（含容器、量器、器皿、试剂、试液、实验用水用气、标准物质等相关知识）、综合评价（地表水、地下水等质量标准、相关污水排放控制标准）、安全防护知识（采样、实验等操作安全要求，规范使用水、电、气、试剂等相关要求，职业健康、工作场所有害因素职业接触限值等相关知识，实验事故应急处置、应急抢救等知识）。</w:t>
            </w:r>
          </w:p>
        </w:tc>
      </w:tr>
      <w:tr w14:paraId="4EF40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14:paraId="05492C10">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1167" w:type="pct"/>
            <w:tcBorders>
              <w:top w:val="single" w:color="auto" w:sz="4" w:space="0"/>
              <w:left w:val="single" w:color="auto" w:sz="4" w:space="0"/>
              <w:bottom w:val="single" w:color="auto" w:sz="4" w:space="0"/>
              <w:right w:val="single" w:color="auto" w:sz="4" w:space="0"/>
            </w:tcBorders>
            <w:vAlign w:val="center"/>
          </w:tcPr>
          <w:p w14:paraId="145401CA">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水质采样</w:t>
            </w:r>
          </w:p>
        </w:tc>
        <w:tc>
          <w:tcPr>
            <w:tcW w:w="3272" w:type="pct"/>
            <w:tcBorders>
              <w:top w:val="single" w:color="auto" w:sz="4" w:space="0"/>
              <w:left w:val="single" w:color="auto" w:sz="4" w:space="0"/>
              <w:bottom w:val="single" w:color="auto" w:sz="4" w:space="0"/>
              <w:right w:val="single" w:color="auto" w:sz="4" w:space="0"/>
            </w:tcBorders>
            <w:vAlign w:val="center"/>
          </w:tcPr>
          <w:p w14:paraId="4FB6AE3A">
            <w:pPr>
              <w:spacing w:line="0" w:lineRule="atLeas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表水、地下水、污水采样方案的内容和编写知识，二次供水采样方案的内容和编写知识，监测点位设置和监测频次、项目、方法的确定原则，采样容器、工具和现场监测设备准备相关要求，水质采样、现场监测、样品运输和保存及其质量保证/质量控制。</w:t>
            </w:r>
          </w:p>
        </w:tc>
      </w:tr>
      <w:tr w14:paraId="4DC0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14:paraId="0F256664">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c>
          <w:tcPr>
            <w:tcW w:w="1167" w:type="pct"/>
            <w:tcBorders>
              <w:top w:val="single" w:color="auto" w:sz="4" w:space="0"/>
              <w:left w:val="single" w:color="auto" w:sz="4" w:space="0"/>
              <w:bottom w:val="single" w:color="auto" w:sz="4" w:space="0"/>
              <w:right w:val="single" w:color="auto" w:sz="4" w:space="0"/>
            </w:tcBorders>
            <w:vAlign w:val="center"/>
          </w:tcPr>
          <w:p w14:paraId="447892C1">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实验分析</w:t>
            </w:r>
          </w:p>
        </w:tc>
        <w:tc>
          <w:tcPr>
            <w:tcW w:w="3272" w:type="pct"/>
            <w:tcBorders>
              <w:top w:val="single" w:color="auto" w:sz="4" w:space="0"/>
              <w:left w:val="single" w:color="auto" w:sz="4" w:space="0"/>
              <w:bottom w:val="single" w:color="auto" w:sz="4" w:space="0"/>
              <w:right w:val="single" w:color="auto" w:sz="4" w:space="0"/>
            </w:tcBorders>
            <w:vAlign w:val="center"/>
          </w:tcPr>
          <w:p w14:paraId="522DAB47">
            <w:pPr>
              <w:spacing w:line="0" w:lineRule="atLeas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监测分析操作基本技术（包括但不限于器皿选用和洗涤，天平选用和称量，吸量、定容和滴定操作，萃取、蒸馏、蒸发、加热、干燥、灼烧、消解、沉淀、结晶、离心、层析、过滤、研磨、粉碎、过筛等），重量法、容量法、电化学法、分光光度法、原子吸收法、原子荧光法、气相色谱法、液相色谱法、离子色谱法等监测方法的基本原理及其应用，水质自动采样器及pH、电导率、溶解氧、流量、化学需氧量、高锰酸盐指数、氨氮、总氮、总磷等项目在线监测系统的基本原理及其应用，上述相关监测方法质量保证/质量控制，相关监测设备管理、运行维护、检定/校准的基本程序和要求。</w:t>
            </w:r>
          </w:p>
        </w:tc>
      </w:tr>
      <w:tr w14:paraId="2018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9" w:type="pct"/>
            <w:tcBorders>
              <w:top w:val="single" w:color="auto" w:sz="4" w:space="0"/>
              <w:left w:val="single" w:color="auto" w:sz="4" w:space="0"/>
              <w:right w:val="single" w:color="auto" w:sz="4" w:space="0"/>
            </w:tcBorders>
            <w:vAlign w:val="center"/>
          </w:tcPr>
          <w:p w14:paraId="2F836AE7">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1167" w:type="pct"/>
            <w:tcBorders>
              <w:top w:val="single" w:color="auto" w:sz="4" w:space="0"/>
              <w:left w:val="single" w:color="auto" w:sz="4" w:space="0"/>
              <w:right w:val="single" w:color="auto" w:sz="4" w:space="0"/>
            </w:tcBorders>
            <w:vAlign w:val="center"/>
          </w:tcPr>
          <w:p w14:paraId="5682B296">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质量管理体系的建设与运行要求</w:t>
            </w:r>
          </w:p>
        </w:tc>
        <w:tc>
          <w:tcPr>
            <w:tcW w:w="3272" w:type="pct"/>
            <w:tcBorders>
              <w:top w:val="single" w:color="auto" w:sz="4" w:space="0"/>
              <w:left w:val="single" w:color="auto" w:sz="4" w:space="0"/>
              <w:bottom w:val="single" w:color="auto" w:sz="4" w:space="0"/>
              <w:right w:val="single" w:color="auto" w:sz="4" w:space="0"/>
            </w:tcBorders>
            <w:vAlign w:val="center"/>
          </w:tcPr>
          <w:p w14:paraId="59046DD0">
            <w:pPr>
              <w:spacing w:line="0" w:lineRule="atLeas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实验室质量管理相关概念、实验室内质量控制、实验室间质量控制、实验室分析质控程序与质控指标体系、不确定度与误差、监测数据的五性、常用数理统计（数据整理与修约、异常值的判断和处理等）、实验室管理制度、计量认证/实验室认可评审基本内容、检验检测机构资质认定评审准则、检验检测机构资质认定管理办法和监督管理办法等。</w:t>
            </w:r>
          </w:p>
        </w:tc>
      </w:tr>
    </w:tbl>
    <w:p w14:paraId="3150412C">
      <w:pPr>
        <w:numPr>
          <w:ilvl w:val="0"/>
          <w:numId w:val="0"/>
        </w:numPr>
        <w:spacing w:line="240" w:lineRule="auto"/>
        <w:jc w:val="left"/>
        <w:rPr>
          <w:rFonts w:hint="default" w:ascii="Times New Roman" w:hAnsi="Times New Roman" w:eastAsia="仿宋_GB2312" w:cs="Times New Roman"/>
          <w:szCs w:val="32"/>
          <w:lang w:val="en-US" w:eastAsia="zh-CN"/>
        </w:rPr>
      </w:pPr>
    </w:p>
    <w:p w14:paraId="09B82B12">
      <w:pPr>
        <w:numPr>
          <w:ilvl w:val="0"/>
          <w:numId w:val="0"/>
        </w:numPr>
        <w:spacing w:line="560" w:lineRule="exact"/>
        <w:ind w:firstLine="680" w:firstLineChars="200"/>
        <w:jc w:val="both"/>
        <w:rPr>
          <w:rFonts w:hint="default" w:ascii="Times New Roman" w:hAnsi="Times New Roman" w:eastAsia="仿宋_GB2312" w:cs="Times New Roman"/>
          <w:color w:val="FF0000"/>
          <w:szCs w:val="32"/>
        </w:rPr>
      </w:pPr>
      <w:r>
        <w:rPr>
          <w:rFonts w:hint="default" w:ascii="Times New Roman" w:hAnsi="Times New Roman" w:eastAsia="仿宋_GB2312" w:cs="Times New Roman"/>
          <w:szCs w:val="32"/>
          <w:lang w:val="en-US" w:eastAsia="zh-CN"/>
        </w:rPr>
        <w:t>2.</w:t>
      </w:r>
      <w:r>
        <w:rPr>
          <w:rFonts w:hint="default" w:ascii="Times New Roman" w:hAnsi="Times New Roman" w:eastAsia="仿宋_GB2312" w:cs="Times New Roman"/>
          <w:szCs w:val="32"/>
          <w:lang w:eastAsia="zh-CN"/>
        </w:rPr>
        <w:t>决赛以</w:t>
      </w:r>
      <w:r>
        <w:rPr>
          <w:rFonts w:hint="default" w:ascii="Times New Roman" w:hAnsi="Times New Roman" w:eastAsia="仿宋_GB2312" w:cs="Times New Roman"/>
          <w:szCs w:val="32"/>
        </w:rPr>
        <w:t>实际操作竞赛</w:t>
      </w:r>
      <w:r>
        <w:rPr>
          <w:rFonts w:hint="default" w:ascii="Times New Roman" w:hAnsi="Times New Roman" w:eastAsia="仿宋_GB2312" w:cs="Times New Roman"/>
          <w:szCs w:val="32"/>
          <w:lang w:eastAsia="zh-CN"/>
        </w:rPr>
        <w:t>方式进行</w:t>
      </w:r>
      <w:r>
        <w:rPr>
          <w:rFonts w:hint="default" w:ascii="Times New Roman" w:hAnsi="Times New Roman" w:eastAsia="仿宋_GB2312" w:cs="Times New Roman"/>
        </w:rPr>
        <w:t>。</w:t>
      </w:r>
      <w:r>
        <w:rPr>
          <w:rFonts w:hint="default"/>
          <w:spacing w:val="-11"/>
          <w:sz w:val="32"/>
          <w:lang w:val="en-US" w:eastAsia="zh-CN"/>
        </w:rPr>
        <w:t>实验室进场准备时间为</w:t>
      </w:r>
      <w:r>
        <w:rPr>
          <w:rFonts w:hint="eastAsia"/>
          <w:spacing w:val="-11"/>
          <w:sz w:val="32"/>
          <w:lang w:val="en-US" w:eastAsia="zh-CN"/>
        </w:rPr>
        <w:t>30</w:t>
      </w:r>
      <w:r>
        <w:rPr>
          <w:rFonts w:hint="default"/>
          <w:spacing w:val="-11"/>
          <w:sz w:val="32"/>
          <w:lang w:val="en-US" w:eastAsia="zh-CN"/>
        </w:rPr>
        <w:t>分钟，</w:t>
      </w:r>
      <w:r>
        <w:rPr>
          <w:rFonts w:hint="default"/>
          <w:spacing w:val="-11"/>
          <w:sz w:val="32"/>
        </w:rPr>
        <w:t>现场实际操作</w:t>
      </w:r>
      <w:r>
        <w:rPr>
          <w:rFonts w:hint="default"/>
          <w:spacing w:val="-11"/>
          <w:sz w:val="32"/>
          <w:lang w:val="en-US" w:eastAsia="zh-CN"/>
        </w:rPr>
        <w:t>时间为1</w:t>
      </w:r>
      <w:r>
        <w:rPr>
          <w:rFonts w:hint="eastAsia"/>
          <w:spacing w:val="-11"/>
          <w:sz w:val="32"/>
          <w:lang w:val="en-US" w:eastAsia="zh-CN"/>
        </w:rPr>
        <w:t>5</w:t>
      </w:r>
      <w:r>
        <w:rPr>
          <w:rFonts w:hint="default"/>
          <w:spacing w:val="-11"/>
          <w:sz w:val="32"/>
          <w:lang w:val="en-US" w:eastAsia="zh-CN"/>
        </w:rPr>
        <w:t>0分钟</w:t>
      </w:r>
      <w:r>
        <w:rPr>
          <w:rFonts w:hint="default"/>
          <w:spacing w:val="-11"/>
          <w:sz w:val="32"/>
        </w:rPr>
        <w:t>，满分为100分。</w:t>
      </w:r>
    </w:p>
    <w:p w14:paraId="2D3E46A0">
      <w:pPr>
        <w:spacing w:line="560" w:lineRule="exact"/>
        <w:ind w:firstLine="680" w:firstLineChars="200"/>
        <w:jc w:val="both"/>
        <w:rPr>
          <w:rFonts w:hint="default" w:ascii="Times New Roman" w:hAnsi="Times New Roman" w:eastAsia="仿宋_GB2312" w:cs="Times New Roman"/>
          <w:color w:val="auto"/>
          <w:szCs w:val="32"/>
        </w:rPr>
      </w:pPr>
      <w:r>
        <w:rPr>
          <w:rFonts w:hint="eastAsia" w:cs="Times New Roman"/>
          <w:szCs w:val="32"/>
          <w:lang w:val="en-US" w:eastAsia="zh-CN"/>
        </w:rPr>
        <w:t>选手需</w:t>
      </w:r>
      <w:r>
        <w:rPr>
          <w:rFonts w:hint="default" w:ascii="Times New Roman" w:hAnsi="Times New Roman" w:eastAsia="仿宋_GB2312" w:cs="Times New Roman"/>
          <w:color w:val="auto"/>
          <w:szCs w:val="32"/>
        </w:rPr>
        <w:t>现场完成</w:t>
      </w:r>
      <w:r>
        <w:rPr>
          <w:rFonts w:hint="eastAsia" w:cs="Times New Roman"/>
          <w:color w:val="auto"/>
          <w:szCs w:val="32"/>
          <w:lang w:eastAsia="zh-CN"/>
        </w:rPr>
        <w:t>《</w:t>
      </w:r>
      <w:r>
        <w:rPr>
          <w:rFonts w:hint="eastAsia" w:cs="Times New Roman"/>
          <w:color w:val="auto"/>
          <w:szCs w:val="32"/>
          <w:lang w:val="en-US" w:eastAsia="zh-CN"/>
        </w:rPr>
        <w:t>水质高锰酸盐指数的测定草酸钠还原酸性滴定法</w:t>
      </w:r>
      <w:r>
        <w:rPr>
          <w:rFonts w:hint="eastAsia" w:cs="Times New Roman"/>
          <w:color w:val="auto"/>
          <w:szCs w:val="32"/>
          <w:lang w:eastAsia="zh-CN"/>
        </w:rPr>
        <w:t>》（</w:t>
      </w:r>
      <w:r>
        <w:rPr>
          <w:rFonts w:hint="eastAsia" w:cs="Times New Roman"/>
          <w:color w:val="auto"/>
          <w:szCs w:val="32"/>
          <w:lang w:val="en-US" w:eastAsia="zh-CN"/>
        </w:rPr>
        <w:t>HJ1445-2026</w:t>
      </w:r>
      <w:r>
        <w:rPr>
          <w:rFonts w:hint="eastAsia" w:cs="Times New Roman"/>
          <w:color w:val="auto"/>
          <w:szCs w:val="32"/>
          <w:lang w:eastAsia="zh-CN"/>
        </w:rPr>
        <w:t>）</w:t>
      </w:r>
      <w:r>
        <w:rPr>
          <w:rFonts w:hint="eastAsia" w:cs="Times New Roman"/>
          <w:color w:val="auto"/>
          <w:lang w:val="en-US" w:eastAsia="zh-CN"/>
        </w:rPr>
        <w:t>1</w:t>
      </w:r>
      <w:r>
        <w:rPr>
          <w:rFonts w:hint="default" w:ascii="Times New Roman" w:hAnsi="Times New Roman" w:eastAsia="仿宋_GB2312" w:cs="Times New Roman"/>
          <w:color w:val="auto"/>
          <w:szCs w:val="32"/>
        </w:rPr>
        <w:t>个项目的实际操作，具体内容如下：</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5"/>
        <w:gridCol w:w="6095"/>
      </w:tblGrid>
      <w:tr w14:paraId="6A90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3" w:hRule="atLeast"/>
          <w:jc w:val="center"/>
        </w:trPr>
        <w:tc>
          <w:tcPr>
            <w:tcW w:w="1636" w:type="pct"/>
            <w:vAlign w:val="center"/>
          </w:tcPr>
          <w:p w14:paraId="78C04627">
            <w:pPr>
              <w:spacing w:line="0" w:lineRule="atLeast"/>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竞赛项目</w:t>
            </w:r>
          </w:p>
        </w:tc>
        <w:tc>
          <w:tcPr>
            <w:tcW w:w="3363" w:type="pct"/>
            <w:vAlign w:val="center"/>
          </w:tcPr>
          <w:p w14:paraId="302DE739">
            <w:pPr>
              <w:spacing w:line="0" w:lineRule="atLeast"/>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具体内容</w:t>
            </w:r>
          </w:p>
        </w:tc>
      </w:tr>
      <w:tr w14:paraId="3EF0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636" w:type="pct"/>
            <w:vMerge w:val="restart"/>
            <w:vAlign w:val="center"/>
          </w:tcPr>
          <w:p w14:paraId="086FC308">
            <w:pPr>
              <w:pStyle w:val="10"/>
              <w:spacing w:after="0" w:line="0" w:lineRule="atLeas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《水质高锰酸盐指数的测定草酸钠还原酸性滴定法》</w:t>
            </w:r>
          </w:p>
        </w:tc>
        <w:tc>
          <w:tcPr>
            <w:tcW w:w="3363" w:type="pct"/>
            <w:vAlign w:val="center"/>
          </w:tcPr>
          <w:p w14:paraId="76D0E049">
            <w:pPr>
              <w:pStyle w:val="10"/>
              <w:spacing w:after="0" w:line="0" w:lineRule="atLeas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1.校准溶液的配制和标定</w:t>
            </w:r>
          </w:p>
        </w:tc>
      </w:tr>
      <w:tr w14:paraId="0F69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636" w:type="pct"/>
            <w:vMerge w:val="continue"/>
            <w:vAlign w:val="center"/>
          </w:tcPr>
          <w:p w14:paraId="223BCAD2">
            <w:pPr>
              <w:pStyle w:val="10"/>
              <w:spacing w:after="0" w:line="0" w:lineRule="atLeast"/>
              <w:ind w:firstLine="0" w:firstLineChars="0"/>
              <w:rPr>
                <w:rFonts w:hint="eastAsia" w:ascii="仿宋_GB2312" w:hAnsi="仿宋_GB2312" w:eastAsia="仿宋_GB2312" w:cs="仿宋_GB2312"/>
                <w:sz w:val="28"/>
                <w:szCs w:val="28"/>
              </w:rPr>
            </w:pPr>
          </w:p>
        </w:tc>
        <w:tc>
          <w:tcPr>
            <w:tcW w:w="3363" w:type="pct"/>
            <w:vAlign w:val="center"/>
          </w:tcPr>
          <w:p w14:paraId="38D1738F">
            <w:pPr>
              <w:pStyle w:val="10"/>
              <w:spacing w:after="0" w:line="0" w:lineRule="atLeas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2.样品的测定和浓度计算</w:t>
            </w:r>
          </w:p>
        </w:tc>
      </w:tr>
      <w:tr w14:paraId="258AD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636" w:type="pct"/>
            <w:vMerge w:val="continue"/>
            <w:vAlign w:val="center"/>
          </w:tcPr>
          <w:p w14:paraId="2746DD31">
            <w:pPr>
              <w:pStyle w:val="10"/>
              <w:spacing w:after="0" w:line="0" w:lineRule="atLeast"/>
              <w:ind w:firstLine="0" w:firstLineChars="0"/>
              <w:rPr>
                <w:rFonts w:hint="eastAsia" w:ascii="仿宋_GB2312" w:hAnsi="仿宋_GB2312" w:eastAsia="仿宋_GB2312" w:cs="仿宋_GB2312"/>
                <w:sz w:val="28"/>
                <w:szCs w:val="28"/>
              </w:rPr>
            </w:pPr>
          </w:p>
        </w:tc>
        <w:tc>
          <w:tcPr>
            <w:tcW w:w="3363" w:type="pct"/>
            <w:vAlign w:val="center"/>
          </w:tcPr>
          <w:p w14:paraId="2B34BB9C">
            <w:pPr>
              <w:pStyle w:val="10"/>
              <w:spacing w:after="0" w:line="0" w:lineRule="atLeast"/>
              <w:ind w:firstLine="0" w:firstLine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记录的填写</w:t>
            </w:r>
          </w:p>
        </w:tc>
      </w:tr>
    </w:tbl>
    <w:p w14:paraId="552E90D1">
      <w:pPr>
        <w:spacing w:line="560" w:lineRule="exact"/>
        <w:ind w:firstLine="680" w:firstLineChars="200"/>
        <w:jc w:val="both"/>
        <w:rPr>
          <w:rFonts w:hint="default" w:ascii="Times New Roman" w:hAnsi="Times New Roman" w:eastAsia="黑体" w:cs="Times New Roman"/>
          <w:bCs/>
          <w:color w:val="000000"/>
        </w:rPr>
      </w:pPr>
      <w:r>
        <w:rPr>
          <w:rFonts w:hint="default" w:ascii="Times New Roman" w:hAnsi="Times New Roman" w:eastAsia="黑体" w:cs="Times New Roman"/>
          <w:bCs/>
          <w:color w:val="000000"/>
        </w:rPr>
        <w:t>二、竞赛评分标准</w:t>
      </w:r>
    </w:p>
    <w:p w14:paraId="03E629A2">
      <w:pPr>
        <w:spacing w:line="560" w:lineRule="exact"/>
        <w:ind w:firstLine="680" w:firstLineChars="200"/>
        <w:jc w:val="both"/>
        <w:rPr>
          <w:rFonts w:hint="default" w:ascii="Times New Roman" w:hAnsi="Times New Roman" w:eastAsia="楷体_GB2312" w:cs="Times New Roman"/>
          <w:color w:val="auto"/>
        </w:rPr>
      </w:pPr>
      <w:r>
        <w:rPr>
          <w:rFonts w:hint="default" w:ascii="Times New Roman" w:hAnsi="Times New Roman" w:eastAsia="楷体_GB2312" w:cs="Times New Roman"/>
          <w:color w:val="auto"/>
        </w:rPr>
        <w:t>（一）</w:t>
      </w:r>
      <w:r>
        <w:rPr>
          <w:rFonts w:hint="default" w:ascii="Times New Roman" w:hAnsi="Times New Roman" w:eastAsia="楷体_GB2312" w:cs="Times New Roman"/>
          <w:color w:val="auto"/>
          <w:lang w:eastAsia="zh-CN"/>
        </w:rPr>
        <w:t>初赛</w:t>
      </w:r>
      <w:r>
        <w:rPr>
          <w:rFonts w:hint="default" w:ascii="Times New Roman" w:hAnsi="Times New Roman" w:eastAsia="楷体_GB2312" w:cs="Times New Roman"/>
          <w:color w:val="auto"/>
        </w:rPr>
        <w:t>评分标准</w:t>
      </w:r>
    </w:p>
    <w:p w14:paraId="48D89C8D">
      <w:pPr>
        <w:spacing w:line="560" w:lineRule="exact"/>
        <w:ind w:firstLine="680" w:firstLineChars="200"/>
        <w:jc w:val="both"/>
        <w:rPr>
          <w:rFonts w:hint="eastAsia" w:cs="Times New Roman"/>
          <w:color w:val="auto"/>
          <w:spacing w:val="-6"/>
          <w:kern w:val="2"/>
          <w:sz w:val="32"/>
          <w:szCs w:val="20"/>
          <w:lang w:val="en-US" w:eastAsia="zh-CN" w:bidi="ar-SA"/>
        </w:rPr>
      </w:pPr>
      <w:r>
        <w:rPr>
          <w:rFonts w:hint="default" w:ascii="Times New Roman" w:hAnsi="Times New Roman" w:eastAsia="仿宋_GB2312" w:cs="Times New Roman"/>
          <w:color w:val="auto"/>
          <w:spacing w:val="-6"/>
          <w:kern w:val="2"/>
          <w:sz w:val="32"/>
          <w:szCs w:val="20"/>
          <w:lang w:val="en-US" w:eastAsia="zh-CN" w:bidi="ar-SA"/>
        </w:rPr>
        <w:t>题型为单项选择题、多项选择题、判断题；单项选择题共30题，每题1分；多项选择题共40题，每题1分；判断题共30题，每题1分；各题型错选、多选或少选均不得分。</w:t>
      </w:r>
      <w:r>
        <w:rPr>
          <w:rFonts w:hint="eastAsia" w:cs="Times New Roman"/>
          <w:color w:val="auto"/>
          <w:spacing w:val="-6"/>
          <w:kern w:val="2"/>
          <w:sz w:val="32"/>
          <w:szCs w:val="20"/>
          <w:lang w:val="en-US" w:eastAsia="zh-CN" w:bidi="ar-SA"/>
        </w:rPr>
        <w:t xml:space="preserve"> </w:t>
      </w:r>
    </w:p>
    <w:p w14:paraId="18A894DC">
      <w:pPr>
        <w:spacing w:line="560" w:lineRule="exact"/>
        <w:ind w:firstLine="680" w:firstLineChars="200"/>
        <w:jc w:val="both"/>
        <w:rPr>
          <w:rFonts w:hint="default" w:ascii="Times New Roman" w:hAnsi="Times New Roman" w:eastAsia="楷体_GB2312" w:cs="Times New Roman"/>
          <w:color w:val="auto"/>
        </w:rPr>
      </w:pPr>
      <w:r>
        <w:rPr>
          <w:rFonts w:hint="default" w:ascii="Times New Roman" w:hAnsi="Times New Roman" w:eastAsia="楷体_GB2312" w:cs="Times New Roman"/>
          <w:color w:val="auto"/>
        </w:rPr>
        <w:t>（二）决赛评分标准</w:t>
      </w:r>
    </w:p>
    <w:tbl>
      <w:tblPr>
        <w:tblStyle w:val="23"/>
        <w:tblpPr w:leftFromText="180" w:rightFromText="180" w:vertAnchor="text" w:horzAnchor="page" w:tblpX="1477" w:tblpY="247"/>
        <w:tblOverlap w:val="never"/>
        <w:tblW w:w="514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19"/>
        <w:gridCol w:w="1442"/>
        <w:gridCol w:w="1779"/>
        <w:gridCol w:w="3674"/>
        <w:gridCol w:w="1287"/>
      </w:tblGrid>
      <w:tr w14:paraId="1DDE50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exact"/>
        </w:trPr>
        <w:tc>
          <w:tcPr>
            <w:tcW w:w="505" w:type="pct"/>
            <w:tcBorders>
              <w:tl2br w:val="nil"/>
              <w:tr2bl w:val="nil"/>
            </w:tcBorders>
            <w:vAlign w:val="center"/>
          </w:tcPr>
          <w:p w14:paraId="3FBBE929">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b/>
                <w:bCs/>
                <w:sz w:val="28"/>
                <w:szCs w:val="28"/>
                <w:lang w:val="en-US" w:eastAsia="zh-CN"/>
              </w:rPr>
            </w:pPr>
            <w:bookmarkStart w:id="0" w:name="_Hlk516607375"/>
            <w:r>
              <w:rPr>
                <w:rFonts w:hint="eastAsia" w:ascii="仿宋_GB2312" w:hAnsi="仿宋_GB2312" w:eastAsia="仿宋_GB2312" w:cs="仿宋_GB2312"/>
                <w:b/>
                <w:bCs/>
                <w:sz w:val="28"/>
                <w:szCs w:val="28"/>
                <w:lang w:val="en-US" w:eastAsia="zh-CN"/>
              </w:rPr>
              <w:t>序号</w:t>
            </w:r>
          </w:p>
        </w:tc>
        <w:tc>
          <w:tcPr>
            <w:tcW w:w="3787" w:type="pct"/>
            <w:gridSpan w:val="3"/>
            <w:tcBorders>
              <w:tl2br w:val="nil"/>
              <w:tr2bl w:val="nil"/>
            </w:tcBorders>
            <w:vAlign w:val="center"/>
          </w:tcPr>
          <w:p w14:paraId="0ADBCF12">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pacing w:val="-5"/>
                <w:sz w:val="28"/>
                <w:szCs w:val="28"/>
              </w:rPr>
              <w:t>评分内容</w:t>
            </w:r>
          </w:p>
        </w:tc>
        <w:tc>
          <w:tcPr>
            <w:tcW w:w="707" w:type="pct"/>
            <w:tcBorders>
              <w:tl2br w:val="nil"/>
              <w:tr2bl w:val="nil"/>
            </w:tcBorders>
            <w:vAlign w:val="center"/>
          </w:tcPr>
          <w:p w14:paraId="593E225B">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分值</w:t>
            </w:r>
          </w:p>
        </w:tc>
      </w:tr>
      <w:tr w14:paraId="7A340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exact"/>
        </w:trPr>
        <w:tc>
          <w:tcPr>
            <w:tcW w:w="505" w:type="pct"/>
            <w:tcBorders>
              <w:tl2br w:val="nil"/>
              <w:tr2bl w:val="nil"/>
            </w:tcBorders>
            <w:vAlign w:val="center"/>
          </w:tcPr>
          <w:p w14:paraId="52DD33A4">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3787" w:type="pct"/>
            <w:gridSpan w:val="3"/>
            <w:tcBorders>
              <w:tl2br w:val="nil"/>
              <w:tr2bl w:val="nil"/>
            </w:tcBorders>
            <w:vAlign w:val="center"/>
          </w:tcPr>
          <w:p w14:paraId="4E3CC044">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left"/>
              <w:textAlignment w:val="auto"/>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2"/>
                <w:sz w:val="28"/>
                <w:szCs w:val="28"/>
              </w:rPr>
              <w:t>现场操作</w:t>
            </w:r>
            <w:r>
              <w:rPr>
                <w:rFonts w:hint="eastAsia" w:ascii="仿宋_GB2312" w:hAnsi="仿宋_GB2312" w:eastAsia="仿宋_GB2312" w:cs="仿宋_GB2312"/>
                <w:spacing w:val="-4"/>
                <w:sz w:val="28"/>
                <w:szCs w:val="28"/>
              </w:rPr>
              <w:t>准备情况</w:t>
            </w:r>
            <w:r>
              <w:rPr>
                <w:rFonts w:hint="eastAsia" w:ascii="仿宋_GB2312" w:hAnsi="仿宋_GB2312" w:eastAsia="仿宋_GB2312" w:cs="仿宋_GB2312"/>
                <w:spacing w:val="1"/>
                <w:sz w:val="28"/>
                <w:szCs w:val="28"/>
              </w:rPr>
              <w:t>（</w:t>
            </w:r>
            <w:r>
              <w:rPr>
                <w:rFonts w:hint="eastAsia" w:ascii="仿宋_GB2312" w:hAnsi="仿宋_GB2312" w:eastAsia="仿宋_GB2312" w:cs="仿宋_GB2312"/>
                <w:spacing w:val="-70"/>
                <w:sz w:val="28"/>
                <w:szCs w:val="28"/>
              </w:rPr>
              <w:t xml:space="preserve"> </w:t>
            </w:r>
            <w:r>
              <w:rPr>
                <w:rFonts w:hint="eastAsia" w:ascii="仿宋_GB2312" w:hAnsi="仿宋_GB2312" w:eastAsia="仿宋_GB2312" w:cs="仿宋_GB2312"/>
                <w:spacing w:val="1"/>
                <w:sz w:val="28"/>
                <w:szCs w:val="28"/>
                <w:lang w:val="en-US" w:eastAsia="zh-CN"/>
              </w:rPr>
              <w:t>4</w:t>
            </w:r>
            <w:r>
              <w:rPr>
                <w:rFonts w:hint="eastAsia" w:ascii="仿宋_GB2312" w:hAnsi="仿宋_GB2312" w:eastAsia="仿宋_GB2312" w:cs="仿宋_GB2312"/>
                <w:spacing w:val="1"/>
                <w:sz w:val="28"/>
                <w:szCs w:val="28"/>
              </w:rPr>
              <w:t>分）</w:t>
            </w:r>
          </w:p>
          <w:p w14:paraId="1C36C417">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left"/>
              <w:textAlignment w:val="auto"/>
              <w:rPr>
                <w:rFonts w:hint="eastAsia" w:ascii="仿宋_GB2312" w:hAnsi="仿宋_GB2312" w:eastAsia="仿宋_GB2312" w:cs="仿宋_GB2312"/>
                <w:spacing w:val="1"/>
                <w:sz w:val="28"/>
                <w:szCs w:val="28"/>
              </w:rPr>
            </w:pPr>
          </w:p>
        </w:tc>
        <w:tc>
          <w:tcPr>
            <w:tcW w:w="707" w:type="pct"/>
            <w:tcBorders>
              <w:tl2br w:val="nil"/>
              <w:tr2bl w:val="nil"/>
            </w:tcBorders>
            <w:vAlign w:val="center"/>
          </w:tcPr>
          <w:p w14:paraId="2E6732EF">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lang w:val="en-US" w:eastAsia="zh-CN"/>
              </w:rPr>
            </w:pPr>
            <w:r>
              <w:rPr>
                <w:rFonts w:hint="eastAsia" w:ascii="仿宋_GB2312" w:hAnsi="仿宋_GB2312" w:cs="仿宋_GB2312"/>
                <w:spacing w:val="0"/>
                <w:sz w:val="28"/>
                <w:szCs w:val="28"/>
                <w:highlight w:val="none"/>
                <w:lang w:val="en-US" w:eastAsia="zh-CN"/>
              </w:rPr>
              <w:t>4</w:t>
            </w:r>
          </w:p>
        </w:tc>
      </w:tr>
      <w:tr w14:paraId="56F49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exact"/>
        </w:trPr>
        <w:tc>
          <w:tcPr>
            <w:tcW w:w="505" w:type="pct"/>
            <w:tcBorders>
              <w:tl2br w:val="nil"/>
              <w:tr2bl w:val="nil"/>
            </w:tcBorders>
            <w:vAlign w:val="center"/>
          </w:tcPr>
          <w:p w14:paraId="5517CA6D">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2</w:t>
            </w:r>
          </w:p>
        </w:tc>
        <w:tc>
          <w:tcPr>
            <w:tcW w:w="3787" w:type="pct"/>
            <w:gridSpan w:val="3"/>
            <w:tcBorders>
              <w:tl2br w:val="nil"/>
              <w:tr2bl w:val="nil"/>
            </w:tcBorders>
            <w:vAlign w:val="center"/>
          </w:tcPr>
          <w:p w14:paraId="25BF9B27">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firstLine="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pacing w:val="-2"/>
                <w:sz w:val="28"/>
                <w:szCs w:val="28"/>
                <w:lang w:val="en-US" w:eastAsia="zh-CN"/>
              </w:rPr>
              <w:t>试剂</w:t>
            </w:r>
            <w:r>
              <w:rPr>
                <w:rFonts w:hint="eastAsia" w:ascii="仿宋_GB2312" w:hAnsi="仿宋_GB2312" w:eastAsia="仿宋_GB2312" w:cs="仿宋_GB2312"/>
                <w:color w:val="auto"/>
                <w:spacing w:val="-2"/>
                <w:sz w:val="28"/>
                <w:szCs w:val="28"/>
              </w:rPr>
              <w:t>及样</w:t>
            </w:r>
            <w:r>
              <w:rPr>
                <w:rFonts w:hint="eastAsia" w:ascii="仿宋_GB2312" w:hAnsi="仿宋_GB2312" w:eastAsia="仿宋_GB2312" w:cs="仿宋_GB2312"/>
                <w:color w:val="auto"/>
                <w:spacing w:val="-14"/>
                <w:sz w:val="28"/>
                <w:szCs w:val="28"/>
              </w:rPr>
              <w:t>品配制</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pacing w:val="-67"/>
                <w:sz w:val="28"/>
                <w:szCs w:val="28"/>
                <w:lang w:eastAsia="zh-CN"/>
              </w:rPr>
              <w:t>7</w:t>
            </w:r>
            <w:r>
              <w:rPr>
                <w:rFonts w:hint="eastAsia" w:ascii="仿宋_GB2312" w:hAnsi="仿宋_GB2312" w:eastAsia="仿宋_GB2312" w:cs="仿宋_GB2312"/>
                <w:color w:val="auto"/>
                <w:sz w:val="28"/>
                <w:szCs w:val="28"/>
              </w:rPr>
              <w:t>分）</w:t>
            </w:r>
          </w:p>
        </w:tc>
        <w:tc>
          <w:tcPr>
            <w:tcW w:w="707" w:type="pct"/>
            <w:tcBorders>
              <w:tl2br w:val="nil"/>
              <w:tr2bl w:val="nil"/>
            </w:tcBorders>
            <w:vAlign w:val="center"/>
          </w:tcPr>
          <w:p w14:paraId="51C525D7">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color w:val="auto"/>
                <w:spacing w:val="0"/>
                <w:sz w:val="28"/>
                <w:szCs w:val="28"/>
                <w:highlight w:val="none"/>
                <w:lang w:val="en-US" w:eastAsia="zh-CN"/>
              </w:rPr>
            </w:pPr>
            <w:r>
              <w:rPr>
                <w:rFonts w:hint="eastAsia" w:ascii="仿宋_GB2312" w:hAnsi="仿宋_GB2312" w:cs="仿宋_GB2312"/>
                <w:color w:val="auto"/>
                <w:spacing w:val="0"/>
                <w:sz w:val="28"/>
                <w:szCs w:val="28"/>
                <w:highlight w:val="none"/>
                <w:lang w:val="en-US" w:eastAsia="zh-CN"/>
              </w:rPr>
              <w:t>7</w:t>
            </w:r>
          </w:p>
        </w:tc>
      </w:tr>
      <w:tr w14:paraId="3537A0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505" w:type="pct"/>
            <w:tcBorders>
              <w:tl2br w:val="nil"/>
              <w:tr2bl w:val="nil"/>
            </w:tcBorders>
            <w:vAlign w:val="center"/>
          </w:tcPr>
          <w:p w14:paraId="538BE286">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3</w:t>
            </w:r>
          </w:p>
        </w:tc>
        <w:tc>
          <w:tcPr>
            <w:tcW w:w="3787" w:type="pct"/>
            <w:gridSpan w:val="3"/>
            <w:tcBorders>
              <w:tl2br w:val="nil"/>
              <w:tr2bl w:val="nil"/>
            </w:tcBorders>
            <w:vAlign w:val="center"/>
          </w:tcPr>
          <w:p w14:paraId="63CC24C2">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pacing w:val="-9"/>
                <w:sz w:val="28"/>
                <w:szCs w:val="28"/>
                <w:lang w:val="en-US" w:eastAsia="zh-CN"/>
              </w:rPr>
              <w:t>滴定</w:t>
            </w:r>
            <w:r>
              <w:rPr>
                <w:rFonts w:hint="eastAsia" w:ascii="仿宋_GB2312" w:hAnsi="仿宋_GB2312" w:eastAsia="仿宋_GB2312" w:cs="仿宋_GB2312"/>
                <w:color w:val="auto"/>
                <w:spacing w:val="-9"/>
                <w:sz w:val="28"/>
                <w:szCs w:val="28"/>
              </w:rPr>
              <w:t>操作</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pacing w:val="-67"/>
                <w:sz w:val="28"/>
                <w:szCs w:val="28"/>
                <w:lang w:eastAsia="zh-CN"/>
              </w:rPr>
              <w:t>1</w:t>
            </w:r>
            <w:r>
              <w:rPr>
                <w:rFonts w:hint="eastAsia" w:ascii="仿宋_GB2312" w:hAnsi="仿宋_GB2312" w:eastAsia="仿宋_GB2312" w:cs="仿宋_GB2312"/>
                <w:color w:val="auto"/>
                <w:spacing w:val="-67"/>
                <w:sz w:val="28"/>
                <w:szCs w:val="28"/>
                <w:lang w:val="en-US" w:eastAsia="zh-CN"/>
              </w:rPr>
              <w:t>0</w:t>
            </w:r>
            <w:r>
              <w:rPr>
                <w:rFonts w:hint="eastAsia" w:ascii="仿宋_GB2312" w:hAnsi="仿宋_GB2312" w:eastAsia="仿宋_GB2312" w:cs="仿宋_GB2312"/>
                <w:color w:val="auto"/>
                <w:sz w:val="28"/>
                <w:szCs w:val="28"/>
              </w:rPr>
              <w:t>分）</w:t>
            </w:r>
          </w:p>
        </w:tc>
        <w:tc>
          <w:tcPr>
            <w:tcW w:w="707" w:type="pct"/>
            <w:tcBorders>
              <w:tl2br w:val="nil"/>
              <w:tr2bl w:val="nil"/>
            </w:tcBorders>
            <w:vAlign w:val="center"/>
          </w:tcPr>
          <w:p w14:paraId="6E7A2F4B">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default" w:ascii="仿宋_GB2312" w:hAnsi="仿宋_GB2312" w:eastAsia="仿宋_GB2312" w:cs="仿宋_GB2312"/>
                <w:color w:val="auto"/>
                <w:spacing w:val="0"/>
                <w:sz w:val="28"/>
                <w:szCs w:val="28"/>
                <w:highlight w:val="none"/>
                <w:lang w:val="en-US" w:eastAsia="zh-CN"/>
              </w:rPr>
            </w:pPr>
            <w:r>
              <w:rPr>
                <w:rFonts w:hint="eastAsia" w:ascii="仿宋_GB2312" w:hAnsi="仿宋_GB2312" w:cs="仿宋_GB2312"/>
                <w:color w:val="auto"/>
                <w:spacing w:val="0"/>
                <w:sz w:val="28"/>
                <w:szCs w:val="28"/>
                <w:highlight w:val="none"/>
                <w:lang w:val="en-US" w:eastAsia="zh-CN"/>
              </w:rPr>
              <w:t>10</w:t>
            </w:r>
          </w:p>
        </w:tc>
      </w:tr>
      <w:tr w14:paraId="693E6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505" w:type="pct"/>
            <w:tcBorders>
              <w:tl2br w:val="nil"/>
              <w:tr2bl w:val="nil"/>
            </w:tcBorders>
            <w:vAlign w:val="center"/>
          </w:tcPr>
          <w:p w14:paraId="27051F19">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4</w:t>
            </w:r>
          </w:p>
        </w:tc>
        <w:tc>
          <w:tcPr>
            <w:tcW w:w="3787" w:type="pct"/>
            <w:gridSpan w:val="3"/>
            <w:tcBorders>
              <w:tl2br w:val="nil"/>
              <w:tr2bl w:val="nil"/>
            </w:tcBorders>
            <w:vAlign w:val="center"/>
          </w:tcPr>
          <w:p w14:paraId="16980174">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pacing w:val="-4"/>
                <w:sz w:val="28"/>
                <w:szCs w:val="28"/>
              </w:rPr>
              <w:t>原始记录</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pacing w:val="-67"/>
                <w:sz w:val="28"/>
                <w:szCs w:val="28"/>
                <w:lang w:eastAsia="zh-CN"/>
              </w:rPr>
              <w:t>1</w:t>
            </w:r>
            <w:r>
              <w:rPr>
                <w:rFonts w:hint="eastAsia" w:ascii="仿宋_GB2312" w:hAnsi="仿宋_GB2312" w:eastAsia="仿宋_GB2312" w:cs="仿宋_GB2312"/>
                <w:color w:val="auto"/>
                <w:spacing w:val="-67"/>
                <w:sz w:val="28"/>
                <w:szCs w:val="28"/>
                <w:lang w:val="en-US" w:eastAsia="zh-CN"/>
              </w:rPr>
              <w:t>0</w:t>
            </w:r>
            <w:r>
              <w:rPr>
                <w:rFonts w:hint="eastAsia" w:ascii="仿宋_GB2312" w:hAnsi="仿宋_GB2312" w:eastAsia="仿宋_GB2312" w:cs="仿宋_GB2312"/>
                <w:color w:val="auto"/>
                <w:sz w:val="28"/>
                <w:szCs w:val="28"/>
              </w:rPr>
              <w:t>分）</w:t>
            </w:r>
          </w:p>
        </w:tc>
        <w:tc>
          <w:tcPr>
            <w:tcW w:w="707" w:type="pct"/>
            <w:tcBorders>
              <w:tl2br w:val="nil"/>
              <w:tr2bl w:val="nil"/>
            </w:tcBorders>
            <w:vAlign w:val="center"/>
          </w:tcPr>
          <w:p w14:paraId="302E8C86">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default" w:ascii="仿宋_GB2312" w:hAnsi="仿宋_GB2312" w:eastAsia="仿宋_GB2312" w:cs="仿宋_GB2312"/>
                <w:color w:val="auto"/>
                <w:spacing w:val="0"/>
                <w:sz w:val="28"/>
                <w:szCs w:val="28"/>
                <w:highlight w:val="none"/>
                <w:lang w:val="en-US" w:eastAsia="zh-CN"/>
              </w:rPr>
            </w:pPr>
            <w:r>
              <w:rPr>
                <w:rFonts w:hint="eastAsia" w:ascii="仿宋_GB2312" w:hAnsi="仿宋_GB2312" w:cs="仿宋_GB2312"/>
                <w:color w:val="auto"/>
                <w:spacing w:val="0"/>
                <w:sz w:val="28"/>
                <w:szCs w:val="28"/>
                <w:highlight w:val="none"/>
                <w:lang w:val="en-US" w:eastAsia="zh-CN"/>
              </w:rPr>
              <w:t>10</w:t>
            </w:r>
          </w:p>
        </w:tc>
      </w:tr>
      <w:tr w14:paraId="006B3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exact"/>
        </w:trPr>
        <w:tc>
          <w:tcPr>
            <w:tcW w:w="505" w:type="pct"/>
            <w:vMerge w:val="restart"/>
            <w:tcBorders>
              <w:tl2br w:val="nil"/>
              <w:tr2bl w:val="nil"/>
            </w:tcBorders>
            <w:vAlign w:val="center"/>
          </w:tcPr>
          <w:p w14:paraId="6AA3B96F">
            <w:pPr>
              <w:keepNext w:val="0"/>
              <w:keepLines w:val="0"/>
              <w:pageBreakBefore w:val="0"/>
              <w:widowControl w:val="0"/>
              <w:kinsoku/>
              <w:wordWrap/>
              <w:overflowPunct/>
              <w:topLinePunct w:val="0"/>
              <w:autoSpaceDE/>
              <w:autoSpaceDN/>
              <w:bidi w:val="0"/>
              <w:adjustRightInd/>
              <w:snapToGrid/>
              <w:spacing w:line="0" w:lineRule="atLeast"/>
              <w:ind w:firstLine="300" w:firstLineChars="1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5</w:t>
            </w:r>
          </w:p>
        </w:tc>
        <w:tc>
          <w:tcPr>
            <w:tcW w:w="792" w:type="pct"/>
            <w:vMerge w:val="restart"/>
            <w:tcBorders>
              <w:tl2br w:val="nil"/>
              <w:tr2bl w:val="nil"/>
            </w:tcBorders>
            <w:vAlign w:val="center"/>
          </w:tcPr>
          <w:p w14:paraId="58C6585B">
            <w:pPr>
              <w:keepNext w:val="0"/>
              <w:keepLines w:val="0"/>
              <w:pageBreakBefore w:val="0"/>
              <w:widowControl w:val="0"/>
              <w:kinsoku/>
              <w:wordWrap/>
              <w:overflowPunct/>
              <w:topLinePunct w:val="0"/>
              <w:autoSpaceDE/>
              <w:autoSpaceDN/>
              <w:bidi w:val="0"/>
              <w:adjustRightInd/>
              <w:snapToGrid/>
              <w:spacing w:line="0" w:lineRule="atLeast"/>
              <w:ind w:right="0"/>
              <w:jc w:val="both"/>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结果计算</w:t>
            </w:r>
          </w:p>
          <w:p w14:paraId="1E560987">
            <w:pPr>
              <w:keepNext w:val="0"/>
              <w:keepLines w:val="0"/>
              <w:pageBreakBefore w:val="0"/>
              <w:widowControl w:val="0"/>
              <w:kinsoku/>
              <w:wordWrap/>
              <w:overflowPunct/>
              <w:topLinePunct w:val="0"/>
              <w:autoSpaceDE/>
              <w:autoSpaceDN/>
              <w:bidi w:val="0"/>
              <w:adjustRightInd/>
              <w:snapToGrid/>
              <w:spacing w:line="0" w:lineRule="atLeast"/>
              <w:ind w:right="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（10分）</w:t>
            </w:r>
          </w:p>
        </w:tc>
        <w:tc>
          <w:tcPr>
            <w:tcW w:w="977" w:type="pct"/>
            <w:vMerge w:val="restart"/>
            <w:tcBorders>
              <w:tl2br w:val="nil"/>
              <w:tr2bl w:val="nil"/>
            </w:tcBorders>
            <w:vAlign w:val="center"/>
          </w:tcPr>
          <w:p w14:paraId="36F3A7A9">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相对偏差</w:t>
            </w:r>
          </w:p>
          <w:p w14:paraId="682A6BFF">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w:t>
            </w:r>
            <w:r>
              <w:rPr>
                <w:rFonts w:hint="eastAsia" w:ascii="仿宋_GB2312" w:hAnsi="仿宋_GB2312" w:eastAsia="仿宋_GB2312" w:cs="仿宋_GB2312"/>
                <w:spacing w:val="-70"/>
                <w:sz w:val="28"/>
                <w:szCs w:val="28"/>
              </w:rPr>
              <w:t xml:space="preserve"> </w:t>
            </w:r>
            <w:r>
              <w:rPr>
                <w:rFonts w:hint="eastAsia" w:ascii="仿宋_GB2312" w:hAnsi="仿宋_GB2312" w:eastAsia="仿宋_GB2312" w:cs="仿宋_GB2312"/>
                <w:spacing w:val="1"/>
                <w:sz w:val="28"/>
                <w:szCs w:val="28"/>
                <w:lang w:val="en-US" w:eastAsia="zh-CN"/>
              </w:rPr>
              <w:t>10</w:t>
            </w:r>
            <w:r>
              <w:rPr>
                <w:rFonts w:hint="eastAsia" w:ascii="仿宋_GB2312" w:hAnsi="仿宋_GB2312" w:eastAsia="仿宋_GB2312" w:cs="仿宋_GB2312"/>
                <w:spacing w:val="1"/>
                <w:sz w:val="28"/>
                <w:szCs w:val="28"/>
              </w:rPr>
              <w:t>分）</w:t>
            </w:r>
          </w:p>
        </w:tc>
        <w:tc>
          <w:tcPr>
            <w:tcW w:w="2017" w:type="pct"/>
            <w:tcBorders>
              <w:tl2br w:val="nil"/>
              <w:tr2bl w:val="nil"/>
            </w:tcBorders>
            <w:vAlign w:val="center"/>
          </w:tcPr>
          <w:p w14:paraId="70AF5709">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5"/>
                <w:sz w:val="28"/>
                <w:szCs w:val="28"/>
              </w:rPr>
              <w:t>相对偏差≤</w:t>
            </w:r>
            <w:r>
              <w:rPr>
                <w:rFonts w:hint="eastAsia" w:ascii="仿宋_GB2312" w:hAnsi="仿宋_GB2312" w:eastAsia="仿宋_GB2312" w:cs="仿宋_GB2312"/>
                <w:spacing w:val="-92"/>
                <w:sz w:val="28"/>
                <w:szCs w:val="28"/>
              </w:rPr>
              <w:t xml:space="preserve"> </w:t>
            </w:r>
            <w:r>
              <w:rPr>
                <w:rFonts w:hint="eastAsia" w:ascii="仿宋_GB2312" w:hAnsi="仿宋_GB2312" w:eastAsia="仿宋_GB2312" w:cs="仿宋_GB2312"/>
                <w:spacing w:val="-5"/>
                <w:sz w:val="28"/>
                <w:szCs w:val="28"/>
                <w:lang w:val="en-US" w:eastAsia="zh-CN"/>
              </w:rPr>
              <w:t>5</w:t>
            </w:r>
            <w:r>
              <w:rPr>
                <w:rFonts w:hint="eastAsia" w:ascii="仿宋_GB2312" w:hAnsi="仿宋_GB2312" w:eastAsia="仿宋_GB2312" w:cs="仿宋_GB2312"/>
                <w:spacing w:val="-5"/>
                <w:sz w:val="28"/>
                <w:szCs w:val="28"/>
              </w:rPr>
              <w:t>%</w:t>
            </w:r>
          </w:p>
        </w:tc>
        <w:tc>
          <w:tcPr>
            <w:tcW w:w="707" w:type="pct"/>
            <w:tcBorders>
              <w:tl2br w:val="nil"/>
              <w:tr2bl w:val="nil"/>
            </w:tcBorders>
            <w:vAlign w:val="center"/>
          </w:tcPr>
          <w:p w14:paraId="2F8AA0DA">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lang w:val="en-US" w:eastAsia="zh-CN"/>
              </w:rPr>
            </w:pPr>
            <w:r>
              <w:rPr>
                <w:rFonts w:hint="eastAsia" w:ascii="仿宋_GB2312" w:hAnsi="仿宋_GB2312" w:eastAsia="仿宋_GB2312" w:cs="仿宋_GB2312"/>
                <w:spacing w:val="0"/>
                <w:sz w:val="28"/>
                <w:szCs w:val="28"/>
                <w:highlight w:val="none"/>
                <w:lang w:val="en-US" w:eastAsia="zh-CN"/>
              </w:rPr>
              <w:t>10</w:t>
            </w:r>
          </w:p>
        </w:tc>
      </w:tr>
      <w:tr w14:paraId="66991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exact"/>
        </w:trPr>
        <w:tc>
          <w:tcPr>
            <w:tcW w:w="505" w:type="pct"/>
            <w:vMerge w:val="continue"/>
            <w:tcBorders>
              <w:tl2br w:val="nil"/>
              <w:tr2bl w:val="nil"/>
            </w:tcBorders>
            <w:vAlign w:val="center"/>
          </w:tcPr>
          <w:p w14:paraId="2B2BA929">
            <w:pPr>
              <w:keepNext w:val="0"/>
              <w:keepLines w:val="0"/>
              <w:pageBreakBefore w:val="0"/>
              <w:widowControl w:val="0"/>
              <w:kinsoku/>
              <w:wordWrap/>
              <w:overflowPunct/>
              <w:topLinePunct w:val="0"/>
              <w:autoSpaceDE/>
              <w:autoSpaceDN/>
              <w:bidi w:val="0"/>
              <w:adjustRightInd/>
              <w:snapToGrid/>
              <w:spacing w:line="0" w:lineRule="atLeast"/>
              <w:ind w:left="0"/>
              <w:jc w:val="both"/>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center"/>
          </w:tcPr>
          <w:p w14:paraId="594A0ADC">
            <w:pPr>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p>
        </w:tc>
        <w:tc>
          <w:tcPr>
            <w:tcW w:w="977" w:type="pct"/>
            <w:vMerge w:val="continue"/>
            <w:tcBorders>
              <w:tl2br w:val="nil"/>
              <w:tr2bl w:val="nil"/>
            </w:tcBorders>
            <w:vAlign w:val="center"/>
          </w:tcPr>
          <w:p w14:paraId="628A8347">
            <w:pPr>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p>
        </w:tc>
        <w:tc>
          <w:tcPr>
            <w:tcW w:w="2017" w:type="pct"/>
            <w:tcBorders>
              <w:tl2br w:val="nil"/>
              <w:tr2bl w:val="nil"/>
            </w:tcBorders>
            <w:vAlign w:val="center"/>
          </w:tcPr>
          <w:p w14:paraId="3E82EC37">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lang w:val="en-US" w:eastAsia="zh-CN"/>
              </w:rPr>
              <w:t>5</w:t>
            </w:r>
            <w:r>
              <w:rPr>
                <w:rFonts w:hint="eastAsia" w:ascii="仿宋_GB2312" w:hAnsi="仿宋_GB2312" w:eastAsia="仿宋_GB2312" w:cs="仿宋_GB2312"/>
                <w:spacing w:val="-3"/>
                <w:sz w:val="28"/>
                <w:szCs w:val="28"/>
              </w:rPr>
              <w:t>%＜相对偏差≤</w:t>
            </w:r>
            <w:r>
              <w:rPr>
                <w:rFonts w:hint="eastAsia" w:ascii="仿宋_GB2312" w:hAnsi="仿宋_GB2312" w:eastAsia="仿宋_GB2312" w:cs="仿宋_GB2312"/>
                <w:spacing w:val="-3"/>
                <w:sz w:val="28"/>
                <w:szCs w:val="28"/>
                <w:lang w:val="en-US" w:eastAsia="zh-CN"/>
              </w:rPr>
              <w:t>10</w:t>
            </w:r>
            <w:r>
              <w:rPr>
                <w:rFonts w:hint="eastAsia" w:ascii="仿宋_GB2312" w:hAnsi="仿宋_GB2312" w:eastAsia="仿宋_GB2312" w:cs="仿宋_GB2312"/>
                <w:spacing w:val="-3"/>
                <w:sz w:val="28"/>
                <w:szCs w:val="28"/>
              </w:rPr>
              <w:t>%</w:t>
            </w:r>
          </w:p>
        </w:tc>
        <w:tc>
          <w:tcPr>
            <w:tcW w:w="707" w:type="pct"/>
            <w:tcBorders>
              <w:tl2br w:val="nil"/>
              <w:tr2bl w:val="nil"/>
            </w:tcBorders>
            <w:vAlign w:val="center"/>
          </w:tcPr>
          <w:p w14:paraId="7D26CF46">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lang w:eastAsia="zh-CN"/>
              </w:rPr>
            </w:pPr>
            <w:r>
              <w:rPr>
                <w:rFonts w:hint="eastAsia" w:ascii="仿宋_GB2312" w:hAnsi="仿宋_GB2312" w:eastAsia="仿宋_GB2312" w:cs="仿宋_GB2312"/>
                <w:spacing w:val="0"/>
                <w:sz w:val="28"/>
                <w:szCs w:val="28"/>
                <w:highlight w:val="none"/>
                <w:lang w:val="en-US" w:eastAsia="zh-CN"/>
              </w:rPr>
              <w:t>5</w:t>
            </w:r>
          </w:p>
        </w:tc>
      </w:tr>
      <w:tr w14:paraId="3D4C4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exact"/>
        </w:trPr>
        <w:tc>
          <w:tcPr>
            <w:tcW w:w="505" w:type="pct"/>
            <w:vMerge w:val="continue"/>
            <w:tcBorders>
              <w:tl2br w:val="nil"/>
              <w:tr2bl w:val="nil"/>
            </w:tcBorders>
            <w:vAlign w:val="center"/>
          </w:tcPr>
          <w:p w14:paraId="656F900D">
            <w:pPr>
              <w:keepNext w:val="0"/>
              <w:keepLines w:val="0"/>
              <w:pageBreakBefore w:val="0"/>
              <w:widowControl w:val="0"/>
              <w:kinsoku/>
              <w:wordWrap/>
              <w:overflowPunct/>
              <w:topLinePunct w:val="0"/>
              <w:autoSpaceDE/>
              <w:autoSpaceDN/>
              <w:bidi w:val="0"/>
              <w:adjustRightInd/>
              <w:snapToGrid/>
              <w:spacing w:line="0" w:lineRule="atLeast"/>
              <w:ind w:left="0"/>
              <w:jc w:val="both"/>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center"/>
          </w:tcPr>
          <w:p w14:paraId="0121F0FC">
            <w:pPr>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p>
        </w:tc>
        <w:tc>
          <w:tcPr>
            <w:tcW w:w="977" w:type="pct"/>
            <w:vMerge w:val="continue"/>
            <w:tcBorders>
              <w:tl2br w:val="nil"/>
              <w:tr2bl w:val="nil"/>
            </w:tcBorders>
            <w:vAlign w:val="center"/>
          </w:tcPr>
          <w:p w14:paraId="548AB21F">
            <w:pPr>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p>
        </w:tc>
        <w:tc>
          <w:tcPr>
            <w:tcW w:w="2017" w:type="pct"/>
            <w:tcBorders>
              <w:tl2br w:val="nil"/>
              <w:tr2bl w:val="nil"/>
            </w:tcBorders>
            <w:vAlign w:val="center"/>
          </w:tcPr>
          <w:p w14:paraId="1D06AACA">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9"/>
                <w:sz w:val="28"/>
                <w:szCs w:val="28"/>
              </w:rPr>
              <w:t>相对偏差＞</w:t>
            </w:r>
            <w:r>
              <w:rPr>
                <w:rFonts w:hint="eastAsia" w:ascii="仿宋_GB2312" w:hAnsi="仿宋_GB2312" w:eastAsia="仿宋_GB2312" w:cs="仿宋_GB2312"/>
                <w:spacing w:val="-65"/>
                <w:sz w:val="28"/>
                <w:szCs w:val="28"/>
              </w:rPr>
              <w:t xml:space="preserve"> </w:t>
            </w:r>
            <w:r>
              <w:rPr>
                <w:rFonts w:hint="eastAsia" w:ascii="仿宋_GB2312" w:hAnsi="仿宋_GB2312" w:eastAsia="仿宋_GB2312" w:cs="仿宋_GB2312"/>
                <w:spacing w:val="-9"/>
                <w:sz w:val="28"/>
                <w:szCs w:val="28"/>
                <w:lang w:val="en-US" w:eastAsia="zh-CN"/>
              </w:rPr>
              <w:t>10</w:t>
            </w:r>
            <w:r>
              <w:rPr>
                <w:rFonts w:hint="eastAsia" w:ascii="仿宋_GB2312" w:hAnsi="仿宋_GB2312" w:eastAsia="仿宋_GB2312" w:cs="仿宋_GB2312"/>
                <w:spacing w:val="-9"/>
                <w:sz w:val="28"/>
                <w:szCs w:val="28"/>
              </w:rPr>
              <w:t>%</w:t>
            </w:r>
          </w:p>
        </w:tc>
        <w:tc>
          <w:tcPr>
            <w:tcW w:w="707" w:type="pct"/>
            <w:tcBorders>
              <w:tl2br w:val="nil"/>
              <w:tr2bl w:val="nil"/>
            </w:tcBorders>
            <w:vAlign w:val="center"/>
          </w:tcPr>
          <w:p w14:paraId="05D6ED7D">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rPr>
            </w:pPr>
            <w:r>
              <w:rPr>
                <w:rFonts w:hint="eastAsia" w:ascii="仿宋_GB2312" w:hAnsi="仿宋_GB2312" w:eastAsia="仿宋_GB2312" w:cs="仿宋_GB2312"/>
                <w:spacing w:val="0"/>
                <w:sz w:val="28"/>
                <w:szCs w:val="28"/>
                <w:highlight w:val="none"/>
              </w:rPr>
              <w:t>0</w:t>
            </w:r>
          </w:p>
        </w:tc>
      </w:tr>
      <w:tr w14:paraId="6B70E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505" w:type="pct"/>
            <w:vMerge w:val="continue"/>
            <w:tcBorders>
              <w:tl2br w:val="nil"/>
              <w:tr2bl w:val="nil"/>
            </w:tcBorders>
            <w:vAlign w:val="center"/>
          </w:tcPr>
          <w:p w14:paraId="39EB6800">
            <w:pPr>
              <w:keepNext w:val="0"/>
              <w:keepLines w:val="0"/>
              <w:pageBreakBefore w:val="0"/>
              <w:widowControl w:val="0"/>
              <w:kinsoku/>
              <w:wordWrap/>
              <w:overflowPunct/>
              <w:topLinePunct w:val="0"/>
              <w:autoSpaceDE/>
              <w:autoSpaceDN/>
              <w:bidi w:val="0"/>
              <w:adjustRightInd/>
              <w:snapToGrid/>
              <w:spacing w:line="0" w:lineRule="atLeast"/>
              <w:ind w:left="0"/>
              <w:jc w:val="both"/>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center"/>
          </w:tcPr>
          <w:p w14:paraId="055DBEDD">
            <w:pPr>
              <w:keepNext w:val="0"/>
              <w:keepLines w:val="0"/>
              <w:pageBreakBefore w:val="0"/>
              <w:widowControl w:val="0"/>
              <w:kinsoku/>
              <w:wordWrap/>
              <w:overflowPunct/>
              <w:topLinePunct w:val="0"/>
              <w:autoSpaceDE/>
              <w:autoSpaceDN/>
              <w:bidi w:val="0"/>
              <w:adjustRightInd/>
              <w:snapToGrid/>
              <w:spacing w:line="0" w:lineRule="atLeast"/>
              <w:ind w:left="0"/>
              <w:jc w:val="both"/>
              <w:textAlignment w:val="auto"/>
              <w:rPr>
                <w:rFonts w:hint="eastAsia" w:ascii="仿宋_GB2312" w:hAnsi="仿宋_GB2312" w:eastAsia="仿宋_GB2312" w:cs="仿宋_GB2312"/>
                <w:sz w:val="28"/>
                <w:szCs w:val="28"/>
              </w:rPr>
            </w:pPr>
          </w:p>
        </w:tc>
        <w:tc>
          <w:tcPr>
            <w:tcW w:w="3702" w:type="pct"/>
            <w:gridSpan w:val="3"/>
            <w:tcBorders>
              <w:tl2br w:val="nil"/>
              <w:tr2bl w:val="nil"/>
            </w:tcBorders>
            <w:vAlign w:val="center"/>
          </w:tcPr>
          <w:p w14:paraId="2072A642">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仿宋_GB2312" w:hAnsi="仿宋_GB2312" w:eastAsia="仿宋_GB2312" w:cs="仿宋_GB2312"/>
                <w:spacing w:val="0"/>
                <w:sz w:val="28"/>
                <w:szCs w:val="28"/>
                <w:highlight w:val="none"/>
              </w:rPr>
            </w:pPr>
            <w:r>
              <w:rPr>
                <w:rFonts w:hint="eastAsia" w:ascii="仿宋_GB2312" w:hAnsi="仿宋_GB2312" w:eastAsia="仿宋_GB2312" w:cs="仿宋_GB2312"/>
                <w:spacing w:val="-1"/>
                <w:sz w:val="28"/>
                <w:szCs w:val="28"/>
                <w:lang w:val="en-US" w:eastAsia="zh-CN"/>
              </w:rPr>
              <w:t>注：</w:t>
            </w:r>
            <w:r>
              <w:rPr>
                <w:rFonts w:hint="eastAsia" w:ascii="仿宋_GB2312" w:hAnsi="仿宋_GB2312" w:eastAsia="仿宋_GB2312" w:cs="仿宋_GB2312"/>
                <w:spacing w:val="-1"/>
                <w:sz w:val="28"/>
                <w:szCs w:val="28"/>
              </w:rPr>
              <w:t>均值、相对偏差等计算错误、有效位数</w:t>
            </w:r>
            <w:r>
              <w:rPr>
                <w:rFonts w:hint="eastAsia" w:ascii="仿宋_GB2312" w:hAnsi="仿宋_GB2312" w:eastAsia="仿宋_GB2312" w:cs="仿宋_GB2312"/>
                <w:spacing w:val="-9"/>
                <w:sz w:val="28"/>
                <w:szCs w:val="28"/>
              </w:rPr>
              <w:t>修约错误（出现一项扣1分</w:t>
            </w:r>
            <w:r>
              <w:rPr>
                <w:rFonts w:hint="eastAsia" w:ascii="仿宋_GB2312" w:hAnsi="仿宋_GB2312" w:eastAsia="仿宋_GB2312" w:cs="仿宋_GB2312"/>
                <w:spacing w:val="-9"/>
                <w:sz w:val="28"/>
                <w:szCs w:val="28"/>
                <w:lang w:eastAsia="zh-CN"/>
              </w:rPr>
              <w:t>，</w:t>
            </w:r>
            <w:r>
              <w:rPr>
                <w:rFonts w:hint="eastAsia" w:ascii="仿宋_GB2312" w:hAnsi="仿宋_GB2312" w:eastAsia="仿宋_GB2312" w:cs="仿宋_GB2312"/>
                <w:spacing w:val="-9"/>
                <w:sz w:val="28"/>
                <w:szCs w:val="28"/>
                <w:lang w:val="en-US" w:eastAsia="zh-CN"/>
              </w:rPr>
              <w:t>最高扣2分</w:t>
            </w:r>
            <w:r>
              <w:rPr>
                <w:rFonts w:hint="eastAsia" w:ascii="仿宋_GB2312" w:hAnsi="仿宋_GB2312" w:eastAsia="仿宋_GB2312" w:cs="仿宋_GB2312"/>
                <w:spacing w:val="-9"/>
                <w:sz w:val="28"/>
                <w:szCs w:val="28"/>
              </w:rPr>
              <w:t>）</w:t>
            </w:r>
            <w:r>
              <w:rPr>
                <w:rFonts w:hint="eastAsia" w:ascii="仿宋_GB2312" w:hAnsi="仿宋_GB2312" w:eastAsia="仿宋_GB2312" w:cs="仿宋_GB2312"/>
                <w:spacing w:val="-9"/>
                <w:sz w:val="28"/>
                <w:szCs w:val="28"/>
                <w:lang w:eastAsia="zh-CN"/>
              </w:rPr>
              <w:t>。</w:t>
            </w:r>
          </w:p>
        </w:tc>
      </w:tr>
      <w:tr w14:paraId="14CC1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505" w:type="pct"/>
            <w:tcBorders>
              <w:tl2br w:val="nil"/>
              <w:tr2bl w:val="nil"/>
            </w:tcBorders>
            <w:vAlign w:val="center"/>
          </w:tcPr>
          <w:p w14:paraId="78C5CAAF">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6</w:t>
            </w:r>
          </w:p>
        </w:tc>
        <w:tc>
          <w:tcPr>
            <w:tcW w:w="792" w:type="pct"/>
            <w:tcBorders>
              <w:tl2br w:val="nil"/>
              <w:tr2bl w:val="nil"/>
            </w:tcBorders>
            <w:vAlign w:val="center"/>
          </w:tcPr>
          <w:p w14:paraId="6D266ED8">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质控样</w:t>
            </w:r>
          </w:p>
          <w:p w14:paraId="4B2D28AD">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w:t>
            </w:r>
            <w:r>
              <w:rPr>
                <w:rFonts w:hint="eastAsia" w:ascii="仿宋_GB2312" w:hAnsi="仿宋_GB2312" w:eastAsia="仿宋_GB2312" w:cs="仿宋_GB2312"/>
                <w:spacing w:val="-70"/>
                <w:sz w:val="28"/>
                <w:szCs w:val="28"/>
              </w:rPr>
              <w:t xml:space="preserve"> </w:t>
            </w:r>
            <w:r>
              <w:rPr>
                <w:rFonts w:hint="eastAsia" w:ascii="仿宋_GB2312" w:hAnsi="仿宋_GB2312" w:eastAsia="仿宋_GB2312" w:cs="仿宋_GB2312"/>
                <w:spacing w:val="1"/>
                <w:sz w:val="28"/>
                <w:szCs w:val="28"/>
                <w:lang w:val="en-US" w:eastAsia="zh-CN"/>
              </w:rPr>
              <w:t>3</w:t>
            </w:r>
            <w:r>
              <w:rPr>
                <w:rFonts w:hint="eastAsia" w:ascii="仿宋_GB2312" w:hAnsi="仿宋_GB2312" w:eastAsia="仿宋_GB2312" w:cs="仿宋_GB2312"/>
                <w:spacing w:val="1"/>
                <w:sz w:val="28"/>
                <w:szCs w:val="28"/>
              </w:rPr>
              <w:t>分）</w:t>
            </w:r>
          </w:p>
        </w:tc>
        <w:tc>
          <w:tcPr>
            <w:tcW w:w="2995" w:type="pct"/>
            <w:gridSpan w:val="2"/>
            <w:tcBorders>
              <w:tl2br w:val="nil"/>
              <w:tr2bl w:val="nil"/>
            </w:tcBorders>
            <w:vAlign w:val="top"/>
          </w:tcPr>
          <w:p w14:paraId="77D043E6">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全程序空白样、考核样平行样（至少1 个）、自备质控样（至少 1个），缺少一种质控样扣1分</w:t>
            </w:r>
          </w:p>
        </w:tc>
        <w:tc>
          <w:tcPr>
            <w:tcW w:w="707" w:type="pct"/>
            <w:tcBorders>
              <w:tl2br w:val="nil"/>
              <w:tr2bl w:val="nil"/>
            </w:tcBorders>
            <w:vAlign w:val="center"/>
          </w:tcPr>
          <w:p w14:paraId="540A04EA">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lang w:eastAsia="zh-CN"/>
              </w:rPr>
            </w:pPr>
            <w:r>
              <w:rPr>
                <w:rFonts w:hint="eastAsia" w:ascii="仿宋_GB2312" w:hAnsi="仿宋_GB2312" w:cs="仿宋_GB2312"/>
                <w:spacing w:val="0"/>
                <w:sz w:val="28"/>
                <w:szCs w:val="28"/>
                <w:highlight w:val="none"/>
                <w:lang w:val="en-US" w:eastAsia="zh-CN"/>
              </w:rPr>
              <w:t>3</w:t>
            </w:r>
          </w:p>
        </w:tc>
      </w:tr>
      <w:tr w14:paraId="53A82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exact"/>
        </w:trPr>
        <w:tc>
          <w:tcPr>
            <w:tcW w:w="505" w:type="pct"/>
            <w:vMerge w:val="restart"/>
            <w:tcBorders>
              <w:tl2br w:val="nil"/>
              <w:tr2bl w:val="nil"/>
            </w:tcBorders>
            <w:vAlign w:val="center"/>
          </w:tcPr>
          <w:p w14:paraId="10F36805">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7</w:t>
            </w:r>
          </w:p>
        </w:tc>
        <w:tc>
          <w:tcPr>
            <w:tcW w:w="792" w:type="pct"/>
            <w:vMerge w:val="restart"/>
            <w:tcBorders>
              <w:tl2br w:val="nil"/>
              <w:tr2bl w:val="nil"/>
            </w:tcBorders>
            <w:vAlign w:val="center"/>
          </w:tcPr>
          <w:p w14:paraId="371684F2">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结果评价</w:t>
            </w:r>
          </w:p>
          <w:p w14:paraId="674D21C7">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w:t>
            </w:r>
            <w:r>
              <w:rPr>
                <w:rFonts w:hint="eastAsia" w:ascii="仿宋_GB2312" w:hAnsi="仿宋_GB2312" w:eastAsia="仿宋_GB2312" w:cs="仿宋_GB2312"/>
                <w:color w:val="auto"/>
                <w:spacing w:val="-4"/>
                <w:sz w:val="28"/>
                <w:szCs w:val="28"/>
                <w:lang w:val="en-US" w:eastAsia="zh-CN"/>
              </w:rPr>
              <w:t>5</w:t>
            </w:r>
            <w:r>
              <w:rPr>
                <w:rFonts w:hint="eastAsia" w:ascii="仿宋_GB2312" w:hAnsi="仿宋_GB2312" w:eastAsia="仿宋_GB2312" w:cs="仿宋_GB2312"/>
                <w:spacing w:val="-4"/>
                <w:sz w:val="28"/>
                <w:szCs w:val="28"/>
                <w:lang w:val="en-US" w:eastAsia="zh-CN"/>
              </w:rPr>
              <w:t>0</w:t>
            </w:r>
            <w:r>
              <w:rPr>
                <w:rFonts w:hint="eastAsia" w:ascii="仿宋_GB2312" w:hAnsi="仿宋_GB2312" w:eastAsia="仿宋_GB2312" w:cs="仿宋_GB2312"/>
                <w:spacing w:val="-47"/>
                <w:sz w:val="28"/>
                <w:szCs w:val="28"/>
              </w:rPr>
              <w:t xml:space="preserve"> </w:t>
            </w:r>
            <w:r>
              <w:rPr>
                <w:rFonts w:hint="eastAsia" w:ascii="仿宋_GB2312" w:hAnsi="仿宋_GB2312" w:eastAsia="仿宋_GB2312" w:cs="仿宋_GB2312"/>
                <w:spacing w:val="-4"/>
                <w:sz w:val="28"/>
                <w:szCs w:val="28"/>
              </w:rPr>
              <w:t>分）</w:t>
            </w:r>
          </w:p>
        </w:tc>
        <w:tc>
          <w:tcPr>
            <w:tcW w:w="2995" w:type="pct"/>
            <w:gridSpan w:val="2"/>
            <w:tcBorders>
              <w:tl2br w:val="nil"/>
              <w:tr2bl w:val="nil"/>
            </w:tcBorders>
            <w:vAlign w:val="center"/>
          </w:tcPr>
          <w:p w14:paraId="4397F87D">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|测定值-标准值|≤</w:t>
            </w:r>
            <w:r>
              <w:rPr>
                <w:rFonts w:hint="eastAsia" w:ascii="仿宋_GB2312" w:hAnsi="仿宋_GB2312" w:eastAsia="仿宋_GB2312" w:cs="仿宋_GB2312"/>
                <w:spacing w:val="-84"/>
                <w:sz w:val="28"/>
                <w:szCs w:val="28"/>
              </w:rPr>
              <w:t xml:space="preserve"> </w:t>
            </w:r>
            <w:r>
              <w:rPr>
                <w:rFonts w:hint="eastAsia" w:ascii="仿宋_GB2312" w:hAnsi="仿宋_GB2312" w:eastAsia="仿宋_GB2312" w:cs="仿宋_GB2312"/>
                <w:spacing w:val="-6"/>
                <w:sz w:val="28"/>
                <w:szCs w:val="28"/>
              </w:rPr>
              <w:t>0.25U</w:t>
            </w:r>
          </w:p>
        </w:tc>
        <w:tc>
          <w:tcPr>
            <w:tcW w:w="707" w:type="pct"/>
            <w:tcBorders>
              <w:tl2br w:val="nil"/>
              <w:tr2bl w:val="nil"/>
            </w:tcBorders>
            <w:vAlign w:val="center"/>
          </w:tcPr>
          <w:p w14:paraId="5244138E">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rPr>
            </w:pPr>
            <w:r>
              <w:rPr>
                <w:rFonts w:hint="eastAsia" w:ascii="仿宋_GB2312" w:hAnsi="仿宋_GB2312" w:cs="仿宋_GB2312"/>
                <w:spacing w:val="0"/>
                <w:sz w:val="28"/>
                <w:szCs w:val="28"/>
                <w:highlight w:val="none"/>
                <w:lang w:val="en-US" w:eastAsia="zh-CN"/>
              </w:rPr>
              <w:t>5</w:t>
            </w:r>
            <w:r>
              <w:rPr>
                <w:rFonts w:hint="eastAsia" w:ascii="仿宋_GB2312" w:hAnsi="仿宋_GB2312" w:eastAsia="仿宋_GB2312" w:cs="仿宋_GB2312"/>
                <w:spacing w:val="0"/>
                <w:sz w:val="28"/>
                <w:szCs w:val="28"/>
                <w:highlight w:val="none"/>
              </w:rPr>
              <w:t>0</w:t>
            </w:r>
          </w:p>
        </w:tc>
      </w:tr>
      <w:tr w14:paraId="3A7D4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exact"/>
        </w:trPr>
        <w:tc>
          <w:tcPr>
            <w:tcW w:w="505" w:type="pct"/>
            <w:vMerge w:val="continue"/>
            <w:tcBorders>
              <w:tl2br w:val="nil"/>
              <w:tr2bl w:val="nil"/>
            </w:tcBorders>
            <w:vAlign w:val="center"/>
          </w:tcPr>
          <w:p w14:paraId="51E5BB67">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center"/>
          </w:tcPr>
          <w:p w14:paraId="5C74F3B5">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2995" w:type="pct"/>
            <w:gridSpan w:val="2"/>
            <w:tcBorders>
              <w:tl2br w:val="nil"/>
              <w:tr2bl w:val="nil"/>
            </w:tcBorders>
            <w:vAlign w:val="center"/>
          </w:tcPr>
          <w:p w14:paraId="50369CCA">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0"/>
                <w:sz w:val="28"/>
                <w:szCs w:val="28"/>
              </w:rPr>
              <w:t>0.25U＜|测定值-标准值|≤</w:t>
            </w:r>
            <w:r>
              <w:rPr>
                <w:rFonts w:hint="eastAsia" w:ascii="仿宋_GB2312" w:hAnsi="仿宋_GB2312" w:eastAsia="仿宋_GB2312" w:cs="仿宋_GB2312"/>
                <w:spacing w:val="-94"/>
                <w:sz w:val="28"/>
                <w:szCs w:val="28"/>
              </w:rPr>
              <w:t xml:space="preserve"> </w:t>
            </w:r>
            <w:r>
              <w:rPr>
                <w:rFonts w:hint="eastAsia" w:ascii="仿宋_GB2312" w:hAnsi="仿宋_GB2312" w:eastAsia="仿宋_GB2312" w:cs="仿宋_GB2312"/>
                <w:spacing w:val="-10"/>
                <w:sz w:val="28"/>
                <w:szCs w:val="28"/>
              </w:rPr>
              <w:t>0.5U</w:t>
            </w:r>
          </w:p>
        </w:tc>
        <w:tc>
          <w:tcPr>
            <w:tcW w:w="707" w:type="pct"/>
            <w:tcBorders>
              <w:tl2br w:val="nil"/>
              <w:tr2bl w:val="nil"/>
            </w:tcBorders>
            <w:vAlign w:val="center"/>
          </w:tcPr>
          <w:p w14:paraId="2451A840">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default" w:ascii="仿宋_GB2312" w:hAnsi="仿宋_GB2312" w:eastAsia="仿宋_GB2312" w:cs="仿宋_GB2312"/>
                <w:spacing w:val="0"/>
                <w:sz w:val="28"/>
                <w:szCs w:val="28"/>
                <w:highlight w:val="none"/>
                <w:lang w:val="en-US"/>
              </w:rPr>
            </w:pPr>
            <w:r>
              <w:rPr>
                <w:rFonts w:hint="eastAsia" w:ascii="仿宋_GB2312" w:hAnsi="仿宋_GB2312" w:cs="仿宋_GB2312"/>
                <w:spacing w:val="0"/>
                <w:sz w:val="28"/>
                <w:szCs w:val="28"/>
                <w:highlight w:val="none"/>
                <w:lang w:val="en-US" w:eastAsia="zh-CN"/>
              </w:rPr>
              <w:t>45</w:t>
            </w:r>
          </w:p>
        </w:tc>
      </w:tr>
      <w:tr w14:paraId="3C7D3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exact"/>
        </w:trPr>
        <w:tc>
          <w:tcPr>
            <w:tcW w:w="505" w:type="pct"/>
            <w:vMerge w:val="continue"/>
            <w:tcBorders>
              <w:tl2br w:val="nil"/>
              <w:tr2bl w:val="nil"/>
            </w:tcBorders>
            <w:vAlign w:val="center"/>
          </w:tcPr>
          <w:p w14:paraId="37A5EC65">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center"/>
          </w:tcPr>
          <w:p w14:paraId="4DB99212">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2995" w:type="pct"/>
            <w:gridSpan w:val="2"/>
            <w:tcBorders>
              <w:tl2br w:val="nil"/>
              <w:tr2bl w:val="nil"/>
            </w:tcBorders>
            <w:vAlign w:val="center"/>
          </w:tcPr>
          <w:p w14:paraId="3D50C204">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0"/>
                <w:sz w:val="28"/>
                <w:szCs w:val="28"/>
              </w:rPr>
              <w:t>0.5U＜|测定值-标准值|≤</w:t>
            </w:r>
            <w:r>
              <w:rPr>
                <w:rFonts w:hint="eastAsia" w:ascii="仿宋_GB2312" w:hAnsi="仿宋_GB2312" w:eastAsia="仿宋_GB2312" w:cs="仿宋_GB2312"/>
                <w:spacing w:val="-94"/>
                <w:sz w:val="28"/>
                <w:szCs w:val="28"/>
              </w:rPr>
              <w:t xml:space="preserve"> </w:t>
            </w:r>
            <w:r>
              <w:rPr>
                <w:rFonts w:hint="eastAsia" w:ascii="仿宋_GB2312" w:hAnsi="仿宋_GB2312" w:eastAsia="仿宋_GB2312" w:cs="仿宋_GB2312"/>
                <w:spacing w:val="-10"/>
                <w:sz w:val="28"/>
                <w:szCs w:val="28"/>
              </w:rPr>
              <w:t>0.75U</w:t>
            </w:r>
          </w:p>
        </w:tc>
        <w:tc>
          <w:tcPr>
            <w:tcW w:w="707" w:type="pct"/>
            <w:tcBorders>
              <w:tl2br w:val="nil"/>
              <w:tr2bl w:val="nil"/>
            </w:tcBorders>
            <w:vAlign w:val="center"/>
          </w:tcPr>
          <w:p w14:paraId="6E0250FE">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rPr>
            </w:pPr>
            <w:r>
              <w:rPr>
                <w:rFonts w:hint="eastAsia" w:ascii="仿宋_GB2312" w:hAnsi="仿宋_GB2312" w:eastAsia="仿宋_GB2312" w:cs="仿宋_GB2312"/>
                <w:spacing w:val="0"/>
                <w:sz w:val="28"/>
                <w:szCs w:val="28"/>
                <w:highlight w:val="none"/>
                <w:lang w:val="en-US" w:eastAsia="zh-CN"/>
              </w:rPr>
              <w:t>4</w:t>
            </w:r>
            <w:r>
              <w:rPr>
                <w:rFonts w:hint="eastAsia" w:ascii="仿宋_GB2312" w:hAnsi="仿宋_GB2312" w:eastAsia="仿宋_GB2312" w:cs="仿宋_GB2312"/>
                <w:spacing w:val="0"/>
                <w:sz w:val="28"/>
                <w:szCs w:val="28"/>
                <w:highlight w:val="none"/>
              </w:rPr>
              <w:t>0</w:t>
            </w:r>
          </w:p>
        </w:tc>
      </w:tr>
      <w:tr w14:paraId="1685C9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exact"/>
        </w:trPr>
        <w:tc>
          <w:tcPr>
            <w:tcW w:w="505" w:type="pct"/>
            <w:vMerge w:val="continue"/>
            <w:tcBorders>
              <w:tl2br w:val="nil"/>
              <w:tr2bl w:val="nil"/>
            </w:tcBorders>
            <w:vAlign w:val="center"/>
          </w:tcPr>
          <w:p w14:paraId="7469E469">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center"/>
          </w:tcPr>
          <w:p w14:paraId="0542487E">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2995" w:type="pct"/>
            <w:gridSpan w:val="2"/>
            <w:tcBorders>
              <w:tl2br w:val="nil"/>
              <w:tr2bl w:val="nil"/>
            </w:tcBorders>
            <w:vAlign w:val="center"/>
          </w:tcPr>
          <w:p w14:paraId="16D54B8A">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0"/>
                <w:sz w:val="28"/>
                <w:szCs w:val="28"/>
              </w:rPr>
              <w:t>0.75U＜</w:t>
            </w:r>
            <w:bookmarkStart w:id="1" w:name="Bookmark24"/>
            <w:r>
              <w:rPr>
                <w:rFonts w:hint="eastAsia" w:ascii="仿宋_GB2312" w:hAnsi="仿宋_GB2312" w:eastAsia="仿宋_GB2312" w:cs="仿宋_GB2312"/>
                <w:spacing w:val="-10"/>
                <w:sz w:val="28"/>
                <w:szCs w:val="28"/>
                <w:shd w:val="clear"/>
              </w:rPr>
              <w:t>|</w:t>
            </w:r>
            <w:bookmarkEnd w:id="1"/>
            <w:r>
              <w:rPr>
                <w:rFonts w:hint="eastAsia" w:ascii="仿宋_GB2312" w:hAnsi="仿宋_GB2312" w:eastAsia="仿宋_GB2312" w:cs="仿宋_GB2312"/>
                <w:spacing w:val="-10"/>
                <w:sz w:val="28"/>
                <w:szCs w:val="28"/>
              </w:rPr>
              <w:t>测定值-标准值</w:t>
            </w:r>
            <w:bookmarkStart w:id="2" w:name="Bookmark25"/>
            <w:r>
              <w:rPr>
                <w:rFonts w:hint="eastAsia" w:ascii="仿宋_GB2312" w:hAnsi="仿宋_GB2312" w:eastAsia="仿宋_GB2312" w:cs="仿宋_GB2312"/>
                <w:spacing w:val="-10"/>
                <w:sz w:val="28"/>
                <w:szCs w:val="28"/>
                <w:shd w:val="clear"/>
              </w:rPr>
              <w:t>|</w:t>
            </w:r>
            <w:bookmarkEnd w:id="2"/>
            <w:r>
              <w:rPr>
                <w:rFonts w:hint="eastAsia" w:ascii="仿宋_GB2312" w:hAnsi="仿宋_GB2312" w:eastAsia="仿宋_GB2312" w:cs="仿宋_GB2312"/>
                <w:spacing w:val="-10"/>
                <w:sz w:val="28"/>
                <w:szCs w:val="28"/>
              </w:rPr>
              <w:t>≤ 1.0U</w:t>
            </w:r>
          </w:p>
        </w:tc>
        <w:tc>
          <w:tcPr>
            <w:tcW w:w="707" w:type="pct"/>
            <w:tcBorders>
              <w:tl2br w:val="nil"/>
              <w:tr2bl w:val="nil"/>
            </w:tcBorders>
            <w:vAlign w:val="center"/>
          </w:tcPr>
          <w:p w14:paraId="116D7317">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lang w:eastAsia="zh-CN"/>
              </w:rPr>
            </w:pPr>
            <w:r>
              <w:rPr>
                <w:rFonts w:hint="eastAsia" w:ascii="仿宋_GB2312" w:hAnsi="仿宋_GB2312" w:eastAsia="仿宋_GB2312" w:cs="仿宋_GB2312"/>
                <w:spacing w:val="0"/>
                <w:sz w:val="28"/>
                <w:szCs w:val="28"/>
                <w:highlight w:val="none"/>
              </w:rPr>
              <w:t>3</w:t>
            </w:r>
            <w:r>
              <w:rPr>
                <w:rFonts w:hint="eastAsia" w:ascii="仿宋_GB2312" w:hAnsi="仿宋_GB2312" w:eastAsia="仿宋_GB2312" w:cs="仿宋_GB2312"/>
                <w:spacing w:val="0"/>
                <w:sz w:val="28"/>
                <w:szCs w:val="28"/>
                <w:highlight w:val="none"/>
                <w:lang w:val="en-US" w:eastAsia="zh-CN"/>
              </w:rPr>
              <w:t>0</w:t>
            </w:r>
          </w:p>
        </w:tc>
      </w:tr>
      <w:tr w14:paraId="60473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exact"/>
        </w:trPr>
        <w:tc>
          <w:tcPr>
            <w:tcW w:w="505" w:type="pct"/>
            <w:vMerge w:val="continue"/>
            <w:tcBorders>
              <w:tl2br w:val="nil"/>
              <w:tr2bl w:val="nil"/>
            </w:tcBorders>
            <w:vAlign w:val="center"/>
          </w:tcPr>
          <w:p w14:paraId="5C3FAA2E">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center"/>
          </w:tcPr>
          <w:p w14:paraId="532A73D4">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2995" w:type="pct"/>
            <w:gridSpan w:val="2"/>
            <w:tcBorders>
              <w:tl2br w:val="nil"/>
              <w:tr2bl w:val="nil"/>
            </w:tcBorders>
            <w:vAlign w:val="center"/>
          </w:tcPr>
          <w:p w14:paraId="3A77AC2A">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1"/>
                <w:sz w:val="28"/>
                <w:szCs w:val="28"/>
              </w:rPr>
              <w:t>1.0U＜|测定值-标准值|≤</w:t>
            </w:r>
            <w:r>
              <w:rPr>
                <w:rFonts w:hint="eastAsia" w:ascii="仿宋_GB2312" w:hAnsi="仿宋_GB2312" w:eastAsia="仿宋_GB2312" w:cs="仿宋_GB2312"/>
                <w:spacing w:val="-96"/>
                <w:sz w:val="28"/>
                <w:szCs w:val="28"/>
              </w:rPr>
              <w:t xml:space="preserve"> </w:t>
            </w:r>
            <w:r>
              <w:rPr>
                <w:rFonts w:hint="eastAsia" w:ascii="仿宋_GB2312" w:hAnsi="仿宋_GB2312" w:eastAsia="仿宋_GB2312" w:cs="仿宋_GB2312"/>
                <w:spacing w:val="-11"/>
                <w:sz w:val="28"/>
                <w:szCs w:val="28"/>
              </w:rPr>
              <w:t>1.5U</w:t>
            </w:r>
          </w:p>
        </w:tc>
        <w:tc>
          <w:tcPr>
            <w:tcW w:w="707" w:type="pct"/>
            <w:tcBorders>
              <w:tl2br w:val="nil"/>
              <w:tr2bl w:val="nil"/>
            </w:tcBorders>
            <w:vAlign w:val="center"/>
          </w:tcPr>
          <w:p w14:paraId="7D9BE385">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rPr>
            </w:pPr>
            <w:r>
              <w:rPr>
                <w:rFonts w:hint="eastAsia" w:ascii="仿宋_GB2312" w:hAnsi="仿宋_GB2312" w:eastAsia="仿宋_GB2312" w:cs="仿宋_GB2312"/>
                <w:spacing w:val="0"/>
                <w:sz w:val="28"/>
                <w:szCs w:val="28"/>
                <w:highlight w:val="none"/>
              </w:rPr>
              <w:t>20</w:t>
            </w:r>
          </w:p>
        </w:tc>
      </w:tr>
      <w:tr w14:paraId="717EB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exact"/>
        </w:trPr>
        <w:tc>
          <w:tcPr>
            <w:tcW w:w="505" w:type="pct"/>
            <w:vMerge w:val="continue"/>
            <w:tcBorders>
              <w:tl2br w:val="nil"/>
              <w:tr2bl w:val="nil"/>
            </w:tcBorders>
            <w:vAlign w:val="center"/>
          </w:tcPr>
          <w:p w14:paraId="67B6D7DF">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center"/>
          </w:tcPr>
          <w:p w14:paraId="6D1146EE">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2995" w:type="pct"/>
            <w:gridSpan w:val="2"/>
            <w:tcBorders>
              <w:tl2br w:val="nil"/>
              <w:tr2bl w:val="nil"/>
            </w:tcBorders>
            <w:vAlign w:val="center"/>
          </w:tcPr>
          <w:p w14:paraId="2AE82FD0">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9"/>
                <w:sz w:val="28"/>
                <w:szCs w:val="28"/>
              </w:rPr>
              <w:t>1.5U＜|测定值-标准值|≤2.0U</w:t>
            </w:r>
          </w:p>
        </w:tc>
        <w:tc>
          <w:tcPr>
            <w:tcW w:w="707" w:type="pct"/>
            <w:tcBorders>
              <w:tl2br w:val="nil"/>
              <w:tr2bl w:val="nil"/>
            </w:tcBorders>
            <w:vAlign w:val="center"/>
          </w:tcPr>
          <w:p w14:paraId="7464A16C">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rPr>
            </w:pPr>
            <w:r>
              <w:rPr>
                <w:rFonts w:hint="eastAsia" w:ascii="仿宋_GB2312" w:hAnsi="仿宋_GB2312" w:eastAsia="仿宋_GB2312" w:cs="仿宋_GB2312"/>
                <w:spacing w:val="0"/>
                <w:sz w:val="28"/>
                <w:szCs w:val="28"/>
                <w:highlight w:val="none"/>
              </w:rPr>
              <w:t>10</w:t>
            </w:r>
          </w:p>
        </w:tc>
      </w:tr>
      <w:tr w14:paraId="49DEC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exact"/>
        </w:trPr>
        <w:tc>
          <w:tcPr>
            <w:tcW w:w="505" w:type="pct"/>
            <w:vMerge w:val="continue"/>
            <w:tcBorders>
              <w:tl2br w:val="nil"/>
              <w:tr2bl w:val="nil"/>
            </w:tcBorders>
            <w:vAlign w:val="center"/>
          </w:tcPr>
          <w:p w14:paraId="31D7B574">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center"/>
          </w:tcPr>
          <w:p w14:paraId="678DAF6B">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2995" w:type="pct"/>
            <w:gridSpan w:val="2"/>
            <w:tcBorders>
              <w:tl2br w:val="nil"/>
              <w:tr2bl w:val="nil"/>
            </w:tcBorders>
            <w:vAlign w:val="center"/>
          </w:tcPr>
          <w:p w14:paraId="54A2E49A">
            <w:pPr>
              <w:pStyle w:val="22"/>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8"/>
                <w:sz w:val="28"/>
                <w:szCs w:val="28"/>
              </w:rPr>
              <w:t>|测定值-标准值|＞2.0U</w:t>
            </w:r>
          </w:p>
        </w:tc>
        <w:tc>
          <w:tcPr>
            <w:tcW w:w="707" w:type="pct"/>
            <w:tcBorders>
              <w:tl2br w:val="nil"/>
              <w:tr2bl w:val="nil"/>
            </w:tcBorders>
            <w:vAlign w:val="center"/>
          </w:tcPr>
          <w:p w14:paraId="74227C49">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rPr>
            </w:pPr>
            <w:r>
              <w:rPr>
                <w:rFonts w:hint="eastAsia" w:ascii="仿宋_GB2312" w:hAnsi="仿宋_GB2312" w:eastAsia="仿宋_GB2312" w:cs="仿宋_GB2312"/>
                <w:spacing w:val="0"/>
                <w:sz w:val="28"/>
                <w:szCs w:val="28"/>
                <w:highlight w:val="none"/>
              </w:rPr>
              <w:t>0</w:t>
            </w:r>
          </w:p>
        </w:tc>
      </w:tr>
      <w:tr w14:paraId="42F41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exact"/>
        </w:trPr>
        <w:tc>
          <w:tcPr>
            <w:tcW w:w="505" w:type="pct"/>
            <w:vMerge w:val="restart"/>
            <w:tcBorders>
              <w:tl2br w:val="nil"/>
              <w:tr2bl w:val="nil"/>
            </w:tcBorders>
            <w:vAlign w:val="center"/>
          </w:tcPr>
          <w:p w14:paraId="0D37BC75">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8</w:t>
            </w:r>
          </w:p>
        </w:tc>
        <w:tc>
          <w:tcPr>
            <w:tcW w:w="792" w:type="pct"/>
            <w:vMerge w:val="restart"/>
            <w:tcBorders>
              <w:tl2br w:val="nil"/>
              <w:tr2bl w:val="nil"/>
            </w:tcBorders>
            <w:vAlign w:val="center"/>
          </w:tcPr>
          <w:p w14:paraId="21D66544">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完成时间</w:t>
            </w:r>
          </w:p>
          <w:p w14:paraId="0912287C">
            <w:pPr>
              <w:pStyle w:val="22"/>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w:t>
            </w:r>
            <w:r>
              <w:rPr>
                <w:rFonts w:hint="eastAsia" w:ascii="仿宋_GB2312" w:hAnsi="仿宋_GB2312" w:eastAsia="仿宋_GB2312" w:cs="仿宋_GB2312"/>
                <w:spacing w:val="-59"/>
                <w:sz w:val="28"/>
                <w:szCs w:val="28"/>
              </w:rPr>
              <w:t xml:space="preserve"> </w:t>
            </w:r>
            <w:r>
              <w:rPr>
                <w:rFonts w:hint="eastAsia" w:ascii="仿宋_GB2312" w:hAnsi="仿宋_GB2312" w:eastAsia="仿宋_GB2312" w:cs="仿宋_GB2312"/>
                <w:spacing w:val="-2"/>
                <w:sz w:val="28"/>
                <w:szCs w:val="28"/>
              </w:rPr>
              <w:t>3分）</w:t>
            </w:r>
          </w:p>
        </w:tc>
        <w:tc>
          <w:tcPr>
            <w:tcW w:w="2995" w:type="pct"/>
            <w:gridSpan w:val="2"/>
            <w:tcBorders>
              <w:tl2br w:val="nil"/>
              <w:tr2bl w:val="nil"/>
            </w:tcBorders>
            <w:vAlign w:val="center"/>
          </w:tcPr>
          <w:p w14:paraId="16F56635">
            <w:pPr>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cs="仿宋_GB2312"/>
                <w:sz w:val="28"/>
                <w:szCs w:val="28"/>
              </w:rPr>
              <w:t>0-120min以内（含）完成</w:t>
            </w:r>
          </w:p>
        </w:tc>
        <w:tc>
          <w:tcPr>
            <w:tcW w:w="707" w:type="pct"/>
            <w:tcBorders>
              <w:tl2br w:val="nil"/>
              <w:tr2bl w:val="nil"/>
            </w:tcBorders>
            <w:vAlign w:val="center"/>
          </w:tcPr>
          <w:p w14:paraId="31D5C12A">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rPr>
            </w:pPr>
            <w:r>
              <w:rPr>
                <w:rFonts w:hint="eastAsia" w:ascii="仿宋_GB2312" w:hAnsi="仿宋_GB2312" w:eastAsia="仿宋_GB2312" w:cs="仿宋_GB2312"/>
                <w:spacing w:val="0"/>
                <w:sz w:val="28"/>
                <w:szCs w:val="28"/>
                <w:highlight w:val="none"/>
              </w:rPr>
              <w:t>3</w:t>
            </w:r>
          </w:p>
        </w:tc>
      </w:tr>
      <w:tr w14:paraId="55C88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exact"/>
        </w:trPr>
        <w:tc>
          <w:tcPr>
            <w:tcW w:w="505" w:type="pct"/>
            <w:vMerge w:val="continue"/>
            <w:tcBorders>
              <w:tl2br w:val="nil"/>
              <w:tr2bl w:val="nil"/>
            </w:tcBorders>
            <w:vAlign w:val="top"/>
          </w:tcPr>
          <w:p w14:paraId="075CF89A">
            <w:pPr>
              <w:keepNext w:val="0"/>
              <w:keepLines w:val="0"/>
              <w:pageBreakBefore w:val="0"/>
              <w:widowControl w:val="0"/>
              <w:kinsoku/>
              <w:wordWrap/>
              <w:overflowPunct/>
              <w:topLinePunct w:val="0"/>
              <w:autoSpaceDE/>
              <w:autoSpaceDN/>
              <w:bidi w:val="0"/>
              <w:adjustRightInd/>
              <w:snapToGrid/>
              <w:spacing w:line="0" w:lineRule="atLeast"/>
              <w:ind w:left="0"/>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top"/>
          </w:tcPr>
          <w:p w14:paraId="02C5091A">
            <w:pPr>
              <w:keepNext w:val="0"/>
              <w:keepLines w:val="0"/>
              <w:pageBreakBefore w:val="0"/>
              <w:widowControl w:val="0"/>
              <w:kinsoku/>
              <w:wordWrap/>
              <w:overflowPunct/>
              <w:topLinePunct w:val="0"/>
              <w:autoSpaceDE/>
              <w:autoSpaceDN/>
              <w:bidi w:val="0"/>
              <w:adjustRightInd/>
              <w:snapToGrid/>
              <w:spacing w:line="0" w:lineRule="atLeast"/>
              <w:ind w:left="0"/>
              <w:textAlignment w:val="auto"/>
              <w:rPr>
                <w:rFonts w:hint="eastAsia" w:ascii="仿宋_GB2312" w:hAnsi="仿宋_GB2312" w:eastAsia="仿宋_GB2312" w:cs="仿宋_GB2312"/>
                <w:sz w:val="28"/>
                <w:szCs w:val="28"/>
              </w:rPr>
            </w:pPr>
          </w:p>
        </w:tc>
        <w:tc>
          <w:tcPr>
            <w:tcW w:w="2995" w:type="pct"/>
            <w:gridSpan w:val="2"/>
            <w:tcBorders>
              <w:tl2br w:val="nil"/>
              <w:tr2bl w:val="nil"/>
            </w:tcBorders>
            <w:vAlign w:val="center"/>
          </w:tcPr>
          <w:p w14:paraId="2559192D">
            <w:pPr>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cs="仿宋_GB2312"/>
                <w:sz w:val="28"/>
                <w:szCs w:val="28"/>
              </w:rPr>
              <w:t>120-130min以内（含）完成</w:t>
            </w:r>
          </w:p>
        </w:tc>
        <w:tc>
          <w:tcPr>
            <w:tcW w:w="707" w:type="pct"/>
            <w:tcBorders>
              <w:tl2br w:val="nil"/>
              <w:tr2bl w:val="nil"/>
            </w:tcBorders>
            <w:vAlign w:val="center"/>
          </w:tcPr>
          <w:p w14:paraId="62AACD6E">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rPr>
            </w:pPr>
            <w:r>
              <w:rPr>
                <w:rFonts w:hint="eastAsia" w:ascii="仿宋_GB2312" w:hAnsi="仿宋_GB2312" w:eastAsia="仿宋_GB2312" w:cs="仿宋_GB2312"/>
                <w:spacing w:val="0"/>
                <w:sz w:val="28"/>
                <w:szCs w:val="28"/>
                <w:highlight w:val="none"/>
              </w:rPr>
              <w:t>2</w:t>
            </w:r>
          </w:p>
        </w:tc>
      </w:tr>
      <w:tr w14:paraId="7363C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exact"/>
        </w:trPr>
        <w:tc>
          <w:tcPr>
            <w:tcW w:w="505" w:type="pct"/>
            <w:vMerge w:val="continue"/>
            <w:tcBorders>
              <w:tl2br w:val="nil"/>
              <w:tr2bl w:val="nil"/>
            </w:tcBorders>
            <w:vAlign w:val="top"/>
          </w:tcPr>
          <w:p w14:paraId="6C0AE43A">
            <w:pPr>
              <w:keepNext w:val="0"/>
              <w:keepLines w:val="0"/>
              <w:pageBreakBefore w:val="0"/>
              <w:widowControl w:val="0"/>
              <w:kinsoku/>
              <w:wordWrap/>
              <w:overflowPunct/>
              <w:topLinePunct w:val="0"/>
              <w:autoSpaceDE/>
              <w:autoSpaceDN/>
              <w:bidi w:val="0"/>
              <w:adjustRightInd/>
              <w:snapToGrid/>
              <w:spacing w:line="0" w:lineRule="atLeast"/>
              <w:ind w:left="0"/>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top"/>
          </w:tcPr>
          <w:p w14:paraId="2B839D52">
            <w:pPr>
              <w:keepNext w:val="0"/>
              <w:keepLines w:val="0"/>
              <w:pageBreakBefore w:val="0"/>
              <w:widowControl w:val="0"/>
              <w:kinsoku/>
              <w:wordWrap/>
              <w:overflowPunct/>
              <w:topLinePunct w:val="0"/>
              <w:autoSpaceDE/>
              <w:autoSpaceDN/>
              <w:bidi w:val="0"/>
              <w:adjustRightInd/>
              <w:snapToGrid/>
              <w:spacing w:line="0" w:lineRule="atLeast"/>
              <w:ind w:left="0"/>
              <w:textAlignment w:val="auto"/>
              <w:rPr>
                <w:rFonts w:hint="eastAsia" w:ascii="仿宋_GB2312" w:hAnsi="仿宋_GB2312" w:eastAsia="仿宋_GB2312" w:cs="仿宋_GB2312"/>
                <w:sz w:val="28"/>
                <w:szCs w:val="28"/>
              </w:rPr>
            </w:pPr>
          </w:p>
        </w:tc>
        <w:tc>
          <w:tcPr>
            <w:tcW w:w="2995" w:type="pct"/>
            <w:gridSpan w:val="2"/>
            <w:tcBorders>
              <w:tl2br w:val="nil"/>
              <w:tr2bl w:val="nil"/>
            </w:tcBorders>
            <w:vAlign w:val="center"/>
          </w:tcPr>
          <w:p w14:paraId="40D04A20">
            <w:pPr>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cs="仿宋_GB2312"/>
                <w:sz w:val="28"/>
                <w:szCs w:val="28"/>
              </w:rPr>
              <w:t>130-140min以内（含）完成</w:t>
            </w:r>
          </w:p>
        </w:tc>
        <w:tc>
          <w:tcPr>
            <w:tcW w:w="707" w:type="pct"/>
            <w:tcBorders>
              <w:tl2br w:val="nil"/>
              <w:tr2bl w:val="nil"/>
            </w:tcBorders>
            <w:vAlign w:val="center"/>
          </w:tcPr>
          <w:p w14:paraId="4B8B6627">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rPr>
            </w:pPr>
            <w:r>
              <w:rPr>
                <w:rFonts w:hint="eastAsia" w:ascii="仿宋_GB2312" w:hAnsi="仿宋_GB2312" w:eastAsia="仿宋_GB2312" w:cs="仿宋_GB2312"/>
                <w:spacing w:val="0"/>
                <w:sz w:val="28"/>
                <w:szCs w:val="28"/>
                <w:highlight w:val="none"/>
              </w:rPr>
              <w:t>1</w:t>
            </w:r>
          </w:p>
        </w:tc>
      </w:tr>
      <w:tr w14:paraId="246B2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exact"/>
        </w:trPr>
        <w:tc>
          <w:tcPr>
            <w:tcW w:w="505" w:type="pct"/>
            <w:vMerge w:val="continue"/>
            <w:tcBorders>
              <w:tl2br w:val="nil"/>
              <w:tr2bl w:val="nil"/>
            </w:tcBorders>
            <w:vAlign w:val="top"/>
          </w:tcPr>
          <w:p w14:paraId="12CC3918">
            <w:pPr>
              <w:keepNext w:val="0"/>
              <w:keepLines w:val="0"/>
              <w:pageBreakBefore w:val="0"/>
              <w:widowControl w:val="0"/>
              <w:kinsoku/>
              <w:wordWrap/>
              <w:overflowPunct/>
              <w:topLinePunct w:val="0"/>
              <w:autoSpaceDE/>
              <w:autoSpaceDN/>
              <w:bidi w:val="0"/>
              <w:adjustRightInd/>
              <w:snapToGrid/>
              <w:spacing w:line="0" w:lineRule="atLeast"/>
              <w:ind w:left="0"/>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top"/>
          </w:tcPr>
          <w:p w14:paraId="3A550B70">
            <w:pPr>
              <w:keepNext w:val="0"/>
              <w:keepLines w:val="0"/>
              <w:pageBreakBefore w:val="0"/>
              <w:widowControl w:val="0"/>
              <w:kinsoku/>
              <w:wordWrap/>
              <w:overflowPunct/>
              <w:topLinePunct w:val="0"/>
              <w:autoSpaceDE/>
              <w:autoSpaceDN/>
              <w:bidi w:val="0"/>
              <w:adjustRightInd/>
              <w:snapToGrid/>
              <w:spacing w:line="0" w:lineRule="atLeast"/>
              <w:ind w:left="0"/>
              <w:textAlignment w:val="auto"/>
              <w:rPr>
                <w:rFonts w:hint="eastAsia" w:ascii="仿宋_GB2312" w:hAnsi="仿宋_GB2312" w:eastAsia="仿宋_GB2312" w:cs="仿宋_GB2312"/>
                <w:sz w:val="28"/>
                <w:szCs w:val="28"/>
              </w:rPr>
            </w:pPr>
          </w:p>
        </w:tc>
        <w:tc>
          <w:tcPr>
            <w:tcW w:w="2995" w:type="pct"/>
            <w:gridSpan w:val="2"/>
            <w:tcBorders>
              <w:tl2br w:val="nil"/>
              <w:tr2bl w:val="nil"/>
            </w:tcBorders>
            <w:vAlign w:val="center"/>
          </w:tcPr>
          <w:p w14:paraId="50CACB07">
            <w:pPr>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z w:val="28"/>
                <w:szCs w:val="28"/>
              </w:rPr>
            </w:pPr>
            <w:r>
              <w:rPr>
                <w:rFonts w:hint="eastAsia" w:ascii="仿宋_GB2312" w:hAnsi="仿宋_GB2312" w:cs="仿宋_GB2312"/>
                <w:sz w:val="28"/>
                <w:szCs w:val="28"/>
              </w:rPr>
              <w:t>140-150min以内（含）完成</w:t>
            </w:r>
          </w:p>
        </w:tc>
        <w:tc>
          <w:tcPr>
            <w:tcW w:w="707" w:type="pct"/>
            <w:tcBorders>
              <w:tl2br w:val="nil"/>
              <w:tr2bl w:val="nil"/>
            </w:tcBorders>
            <w:vAlign w:val="center"/>
          </w:tcPr>
          <w:p w14:paraId="28EA78DA">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rPr>
            </w:pPr>
            <w:r>
              <w:rPr>
                <w:rFonts w:hint="eastAsia" w:ascii="仿宋_GB2312" w:hAnsi="仿宋_GB2312" w:eastAsia="仿宋_GB2312" w:cs="仿宋_GB2312"/>
                <w:spacing w:val="0"/>
                <w:sz w:val="28"/>
                <w:szCs w:val="28"/>
                <w:highlight w:val="none"/>
              </w:rPr>
              <w:t>0</w:t>
            </w:r>
          </w:p>
        </w:tc>
      </w:tr>
      <w:tr w14:paraId="17E95F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exact"/>
        </w:trPr>
        <w:tc>
          <w:tcPr>
            <w:tcW w:w="505" w:type="pct"/>
            <w:vMerge w:val="restart"/>
            <w:tcBorders>
              <w:tl2br w:val="nil"/>
              <w:tr2bl w:val="nil"/>
            </w:tcBorders>
            <w:vAlign w:val="center"/>
          </w:tcPr>
          <w:p w14:paraId="2E85CF79">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792" w:type="pct"/>
            <w:vMerge w:val="restart"/>
            <w:tcBorders>
              <w:tl2br w:val="nil"/>
              <w:tr2bl w:val="nil"/>
            </w:tcBorders>
            <w:vAlign w:val="center"/>
          </w:tcPr>
          <w:p w14:paraId="2917C1DE">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安全操作</w:t>
            </w:r>
          </w:p>
          <w:p w14:paraId="4B7D9BC0">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（3分）</w:t>
            </w:r>
          </w:p>
        </w:tc>
        <w:tc>
          <w:tcPr>
            <w:tcW w:w="2995" w:type="pct"/>
            <w:gridSpan w:val="2"/>
            <w:tcBorders>
              <w:tl2br w:val="nil"/>
              <w:tr2bl w:val="nil"/>
            </w:tcBorders>
            <w:vAlign w:val="center"/>
          </w:tcPr>
          <w:p w14:paraId="51E4A8DB">
            <w:pPr>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pacing w:val="-6"/>
                <w:sz w:val="28"/>
                <w:szCs w:val="28"/>
              </w:rPr>
            </w:pPr>
            <w:r>
              <w:rPr>
                <w:rFonts w:hint="eastAsia" w:ascii="仿宋_GB2312" w:hAnsi="仿宋_GB2312" w:eastAsia="仿宋_GB2312" w:cs="仿宋_GB2312"/>
                <w:i w:val="0"/>
                <w:iCs w:val="0"/>
                <w:caps w:val="0"/>
                <w:color w:val="auto"/>
                <w:spacing w:val="-6"/>
                <w:sz w:val="28"/>
                <w:szCs w:val="28"/>
                <w:highlight w:val="none"/>
                <w:shd w:val="clear" w:color="auto" w:fill="auto"/>
              </w:rPr>
              <w:t>按规定佩戴防护用品</w:t>
            </w:r>
          </w:p>
        </w:tc>
        <w:tc>
          <w:tcPr>
            <w:tcW w:w="707" w:type="pct"/>
            <w:tcBorders>
              <w:tl2br w:val="nil"/>
              <w:tr2bl w:val="nil"/>
            </w:tcBorders>
            <w:vAlign w:val="center"/>
          </w:tcPr>
          <w:p w14:paraId="720FFE50">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lang w:val="en-US" w:eastAsia="zh-CN"/>
              </w:rPr>
            </w:pPr>
            <w:r>
              <w:rPr>
                <w:rFonts w:hint="eastAsia" w:ascii="仿宋_GB2312" w:hAnsi="仿宋_GB2312" w:eastAsia="仿宋_GB2312" w:cs="仿宋_GB2312"/>
                <w:spacing w:val="0"/>
                <w:sz w:val="28"/>
                <w:szCs w:val="28"/>
                <w:highlight w:val="none"/>
                <w:lang w:val="en-US" w:eastAsia="zh-CN"/>
              </w:rPr>
              <w:t>1</w:t>
            </w:r>
          </w:p>
        </w:tc>
      </w:tr>
      <w:tr w14:paraId="7BB59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exact"/>
        </w:trPr>
        <w:tc>
          <w:tcPr>
            <w:tcW w:w="505" w:type="pct"/>
            <w:vMerge w:val="continue"/>
            <w:tcBorders>
              <w:tl2br w:val="nil"/>
              <w:tr2bl w:val="nil"/>
            </w:tcBorders>
            <w:vAlign w:val="center"/>
          </w:tcPr>
          <w:p w14:paraId="03374946">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center"/>
          </w:tcPr>
          <w:p w14:paraId="6F7449CA">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2995" w:type="pct"/>
            <w:gridSpan w:val="2"/>
            <w:tcBorders>
              <w:tl2br w:val="nil"/>
              <w:tr2bl w:val="nil"/>
            </w:tcBorders>
            <w:vAlign w:val="center"/>
          </w:tcPr>
          <w:p w14:paraId="188DC88F">
            <w:pPr>
              <w:keepNext w:val="0"/>
              <w:keepLines w:val="0"/>
              <w:pageBreakBefore w:val="0"/>
              <w:widowControl w:val="0"/>
              <w:kinsoku/>
              <w:wordWrap/>
              <w:overflowPunct/>
              <w:topLinePunct w:val="0"/>
              <w:autoSpaceDE/>
              <w:autoSpaceDN/>
              <w:bidi w:val="0"/>
              <w:adjustRightInd/>
              <w:snapToGrid/>
              <w:spacing w:line="0" w:lineRule="atLeast"/>
              <w:ind w:left="0" w:leftChars="0" w:right="0" w:firstLine="0" w:firstLineChars="0"/>
              <w:jc w:val="both"/>
              <w:textAlignment w:val="auto"/>
              <w:rPr>
                <w:rFonts w:hint="eastAsia" w:ascii="仿宋_GB2312" w:hAnsi="仿宋_GB2312" w:eastAsia="仿宋_GB2312" w:cs="仿宋_GB2312"/>
                <w:spacing w:val="-6"/>
                <w:sz w:val="28"/>
                <w:szCs w:val="28"/>
              </w:rPr>
            </w:pPr>
            <w:r>
              <w:rPr>
                <w:rFonts w:hint="eastAsia" w:ascii="仿宋_GB2312" w:hAnsi="仿宋_GB2312" w:eastAsia="仿宋_GB2312" w:cs="仿宋_GB2312"/>
                <w:i w:val="0"/>
                <w:iCs w:val="0"/>
                <w:caps w:val="0"/>
                <w:color w:val="auto"/>
                <w:spacing w:val="-6"/>
                <w:sz w:val="28"/>
                <w:szCs w:val="28"/>
                <w:shd w:val="clear" w:color="auto" w:fill="auto"/>
                <w:lang w:val="en-US" w:eastAsia="zh-CN"/>
              </w:rPr>
              <w:t>出现</w:t>
            </w:r>
            <w:r>
              <w:rPr>
                <w:rFonts w:hint="eastAsia" w:ascii="仿宋_GB2312" w:hAnsi="仿宋_GB2312" w:eastAsia="仿宋_GB2312" w:cs="仿宋_GB2312"/>
                <w:i w:val="0"/>
                <w:iCs w:val="0"/>
                <w:caps w:val="0"/>
                <w:color w:val="auto"/>
                <w:spacing w:val="-6"/>
                <w:sz w:val="28"/>
                <w:szCs w:val="28"/>
                <w:shd w:val="clear" w:color="auto" w:fill="auto"/>
              </w:rPr>
              <w:t>试剂洒落</w:t>
            </w:r>
            <w:r>
              <w:rPr>
                <w:rFonts w:hint="eastAsia" w:ascii="仿宋_GB2312" w:hAnsi="仿宋_GB2312" w:eastAsia="仿宋_GB2312" w:cs="仿宋_GB2312"/>
                <w:i w:val="0"/>
                <w:iCs w:val="0"/>
                <w:caps w:val="0"/>
                <w:color w:val="auto"/>
                <w:spacing w:val="-6"/>
                <w:sz w:val="28"/>
                <w:szCs w:val="28"/>
                <w:shd w:val="clear" w:color="auto" w:fill="auto"/>
                <w:lang w:val="en-US" w:eastAsia="zh-CN"/>
              </w:rPr>
              <w:t>情况</w:t>
            </w:r>
            <w:r>
              <w:rPr>
                <w:rFonts w:hint="eastAsia" w:ascii="仿宋_GB2312" w:hAnsi="仿宋_GB2312" w:eastAsia="仿宋_GB2312" w:cs="仿宋_GB2312"/>
                <w:i w:val="0"/>
                <w:iCs w:val="0"/>
                <w:caps w:val="0"/>
                <w:color w:val="auto"/>
                <w:spacing w:val="-6"/>
                <w:sz w:val="28"/>
                <w:szCs w:val="28"/>
                <w:shd w:val="clear" w:color="auto" w:fill="auto"/>
              </w:rPr>
              <w:t>及时处理</w:t>
            </w:r>
          </w:p>
        </w:tc>
        <w:tc>
          <w:tcPr>
            <w:tcW w:w="707" w:type="pct"/>
            <w:tcBorders>
              <w:tl2br w:val="nil"/>
              <w:tr2bl w:val="nil"/>
            </w:tcBorders>
            <w:vAlign w:val="center"/>
          </w:tcPr>
          <w:p w14:paraId="2F74A687">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lang w:val="en-US" w:eastAsia="zh-CN"/>
              </w:rPr>
            </w:pPr>
            <w:r>
              <w:rPr>
                <w:rFonts w:hint="eastAsia" w:ascii="仿宋_GB2312" w:hAnsi="仿宋_GB2312" w:eastAsia="仿宋_GB2312" w:cs="仿宋_GB2312"/>
                <w:spacing w:val="0"/>
                <w:sz w:val="28"/>
                <w:szCs w:val="28"/>
                <w:highlight w:val="none"/>
                <w:lang w:val="en-US" w:eastAsia="zh-CN"/>
              </w:rPr>
              <w:t>1</w:t>
            </w:r>
          </w:p>
        </w:tc>
      </w:tr>
      <w:tr w14:paraId="7ECAD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exact"/>
        </w:trPr>
        <w:tc>
          <w:tcPr>
            <w:tcW w:w="505" w:type="pct"/>
            <w:vMerge w:val="continue"/>
            <w:tcBorders>
              <w:tl2br w:val="nil"/>
              <w:tr2bl w:val="nil"/>
            </w:tcBorders>
            <w:vAlign w:val="center"/>
          </w:tcPr>
          <w:p w14:paraId="76A843DB">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792" w:type="pct"/>
            <w:vMerge w:val="continue"/>
            <w:tcBorders>
              <w:tl2br w:val="nil"/>
              <w:tr2bl w:val="nil"/>
            </w:tcBorders>
            <w:vAlign w:val="center"/>
          </w:tcPr>
          <w:p w14:paraId="6A223C94">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z w:val="28"/>
                <w:szCs w:val="28"/>
              </w:rPr>
            </w:pPr>
          </w:p>
        </w:tc>
        <w:tc>
          <w:tcPr>
            <w:tcW w:w="2995" w:type="pct"/>
            <w:gridSpan w:val="2"/>
            <w:tcBorders>
              <w:tl2br w:val="nil"/>
              <w:tr2bl w:val="nil"/>
            </w:tcBorders>
            <w:vAlign w:val="center"/>
          </w:tcPr>
          <w:p w14:paraId="1B0CF4C4">
            <w:pPr>
              <w:keepNext w:val="0"/>
              <w:keepLines w:val="0"/>
              <w:pageBreakBefore w:val="0"/>
              <w:widowControl w:val="0"/>
              <w:kinsoku/>
              <w:wordWrap/>
              <w:overflowPunct/>
              <w:topLinePunct w:val="0"/>
              <w:autoSpaceDE/>
              <w:autoSpaceDN/>
              <w:bidi w:val="0"/>
              <w:adjustRightInd/>
              <w:snapToGrid/>
              <w:spacing w:line="0" w:lineRule="atLeast"/>
              <w:ind w:left="0" w:leftChars="0" w:right="0"/>
              <w:jc w:val="both"/>
              <w:textAlignment w:val="auto"/>
              <w:rPr>
                <w:rFonts w:hint="eastAsia" w:ascii="仿宋_GB2312" w:hAnsi="仿宋_GB2312" w:eastAsia="仿宋_GB2312" w:cs="仿宋_GB2312"/>
                <w:spacing w:val="-6"/>
                <w:sz w:val="28"/>
                <w:szCs w:val="28"/>
              </w:rPr>
            </w:pPr>
            <w:r>
              <w:rPr>
                <w:rFonts w:hint="eastAsia" w:ascii="仿宋_GB2312" w:hAnsi="仿宋_GB2312" w:eastAsia="仿宋_GB2312" w:cs="仿宋_GB2312"/>
                <w:i w:val="0"/>
                <w:iCs w:val="0"/>
                <w:caps w:val="0"/>
                <w:color w:val="auto"/>
                <w:spacing w:val="-6"/>
                <w:sz w:val="28"/>
                <w:szCs w:val="28"/>
                <w:shd w:val="clear" w:color="auto" w:fill="auto"/>
                <w:lang w:val="en-US" w:eastAsia="zh-CN"/>
              </w:rPr>
              <w:t>妥善处理</w:t>
            </w:r>
            <w:r>
              <w:rPr>
                <w:rFonts w:hint="eastAsia" w:ascii="仿宋_GB2312" w:hAnsi="仿宋_GB2312" w:eastAsia="仿宋_GB2312" w:cs="仿宋_GB2312"/>
                <w:i w:val="0"/>
                <w:iCs w:val="0"/>
                <w:caps w:val="0"/>
                <w:color w:val="auto"/>
                <w:spacing w:val="-6"/>
                <w:sz w:val="28"/>
                <w:szCs w:val="28"/>
                <w:shd w:val="clear" w:color="auto" w:fill="auto"/>
              </w:rPr>
              <w:t>废液</w:t>
            </w:r>
          </w:p>
        </w:tc>
        <w:tc>
          <w:tcPr>
            <w:tcW w:w="707" w:type="pct"/>
            <w:tcBorders>
              <w:tl2br w:val="nil"/>
              <w:tr2bl w:val="nil"/>
            </w:tcBorders>
            <w:vAlign w:val="center"/>
          </w:tcPr>
          <w:p w14:paraId="07F3899A">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仿宋_GB2312" w:hAnsi="仿宋_GB2312" w:eastAsia="仿宋_GB2312" w:cs="仿宋_GB2312"/>
                <w:spacing w:val="0"/>
                <w:sz w:val="28"/>
                <w:szCs w:val="28"/>
                <w:highlight w:val="none"/>
                <w:lang w:val="en-US" w:eastAsia="zh-CN"/>
              </w:rPr>
            </w:pPr>
            <w:r>
              <w:rPr>
                <w:rFonts w:hint="eastAsia" w:ascii="仿宋_GB2312" w:hAnsi="仿宋_GB2312" w:eastAsia="仿宋_GB2312" w:cs="仿宋_GB2312"/>
                <w:spacing w:val="0"/>
                <w:sz w:val="28"/>
                <w:szCs w:val="28"/>
                <w:highlight w:val="none"/>
                <w:lang w:val="en-US" w:eastAsia="zh-CN"/>
              </w:rPr>
              <w:t>1</w:t>
            </w:r>
          </w:p>
        </w:tc>
      </w:tr>
      <w:bookmarkEnd w:id="0"/>
    </w:tbl>
    <w:p w14:paraId="2C173823">
      <w:pPr>
        <w:keepNext w:val="0"/>
        <w:keepLines w:val="0"/>
        <w:pageBreakBefore w:val="0"/>
        <w:kinsoku/>
        <w:wordWrap/>
        <w:topLinePunct w:val="0"/>
        <w:bidi w:val="0"/>
        <w:spacing w:line="560" w:lineRule="exact"/>
        <w:ind w:firstLine="0" w:firstLineChars="0"/>
        <w:jc w:val="both"/>
        <w:rPr>
          <w:rFonts w:hint="eastAsia" w:ascii="仿宋_GB2312" w:hAnsi="仿宋_GB2312" w:eastAsia="黑体" w:cs="仿宋_GB2312"/>
          <w:b w:val="0"/>
          <w:bCs w:val="0"/>
          <w:color w:val="0D0D0D"/>
          <w:spacing w:val="-6"/>
          <w:kern w:val="2"/>
          <w:sz w:val="32"/>
          <w:szCs w:val="32"/>
          <w:lang w:val="en-US" w:eastAsia="zh-CN" w:bidi="ar-SA"/>
        </w:rPr>
      </w:pPr>
      <w:r>
        <w:rPr>
          <w:rFonts w:hint="eastAsia" w:ascii="仿宋_GB2312" w:hAnsi="仿宋_GB2312" w:eastAsia="仿宋_GB2312" w:cs="仿宋_GB2312"/>
          <w:b w:val="0"/>
          <w:bCs w:val="0"/>
          <w:color w:val="0D0D0D"/>
          <w:spacing w:val="-6"/>
          <w:kern w:val="2"/>
          <w:sz w:val="32"/>
          <w:szCs w:val="32"/>
          <w:lang w:val="en-US" w:eastAsia="zh-CN" w:bidi="ar-SA"/>
        </w:rPr>
        <w:t>备注：考核盲样在实验过程中如有损坏，选手可以向裁判提出重新发放，但要扣</w:t>
      </w:r>
      <w:r>
        <w:rPr>
          <w:rFonts w:hint="default" w:ascii="Times New Roman" w:hAnsi="Times New Roman" w:eastAsia="仿宋_GB2312" w:cs="Times New Roman"/>
          <w:b w:val="0"/>
          <w:bCs w:val="0"/>
          <w:color w:val="auto"/>
          <w:spacing w:val="0"/>
          <w:kern w:val="2"/>
          <w:sz w:val="32"/>
          <w:szCs w:val="32"/>
          <w:highlight w:val="none"/>
          <w:lang w:val="en-US" w:eastAsia="zh-CN" w:bidi="ar-SA"/>
        </w:rPr>
        <w:t>10</w:t>
      </w:r>
      <w:r>
        <w:rPr>
          <w:rFonts w:hint="eastAsia" w:ascii="仿宋_GB2312" w:hAnsi="仿宋_GB2312" w:eastAsia="仿宋_GB2312" w:cs="仿宋_GB2312"/>
          <w:b w:val="0"/>
          <w:bCs w:val="0"/>
          <w:color w:val="0D0D0D"/>
          <w:spacing w:val="-6"/>
          <w:kern w:val="2"/>
          <w:sz w:val="32"/>
          <w:szCs w:val="32"/>
          <w:lang w:val="en-US" w:eastAsia="zh-CN" w:bidi="ar-SA"/>
        </w:rPr>
        <w:t>分</w:t>
      </w:r>
      <w:r>
        <w:rPr>
          <w:rFonts w:hint="eastAsia" w:ascii="仿宋_GB2312" w:hAnsi="仿宋_GB2312" w:cs="仿宋_GB2312"/>
          <w:b w:val="0"/>
          <w:bCs w:val="0"/>
          <w:color w:val="0D0D0D"/>
          <w:spacing w:val="-6"/>
          <w:kern w:val="2"/>
          <w:sz w:val="32"/>
          <w:szCs w:val="32"/>
          <w:lang w:val="en-US" w:eastAsia="zh-CN" w:bidi="ar-SA"/>
        </w:rPr>
        <w:t>;打破1个玻璃器皿扣1分；离开考场拿取器皿和试剂，一件扣一分。执委会提供物资，不够用需要补充不扣分。</w:t>
      </w:r>
    </w:p>
    <w:p w14:paraId="1FE21D05">
      <w:pPr>
        <w:spacing w:line="560" w:lineRule="exact"/>
        <w:ind w:firstLine="680" w:firstLineChars="200"/>
        <w:jc w:val="both"/>
        <w:rPr>
          <w:rFonts w:hint="default" w:ascii="Times New Roman" w:hAnsi="Times New Roman" w:eastAsia="黑体" w:cs="Times New Roman"/>
        </w:rPr>
      </w:pPr>
      <w:r>
        <w:rPr>
          <w:rFonts w:hint="default" w:ascii="Times New Roman" w:hAnsi="Times New Roman" w:eastAsia="黑体" w:cs="Times New Roman"/>
        </w:rPr>
        <w:t>三、成绩评定办法</w:t>
      </w:r>
    </w:p>
    <w:p w14:paraId="76446D53">
      <w:pPr>
        <w:spacing w:line="560" w:lineRule="exact"/>
        <w:ind w:firstLine="680" w:firstLineChars="200"/>
        <w:jc w:val="both"/>
        <w:rPr>
          <w:rFonts w:hint="default" w:ascii="Times New Roman" w:hAnsi="Times New Roman" w:eastAsia="仿宋_GB2312" w:cs="Times New Roman"/>
          <w:szCs w:val="32"/>
        </w:rPr>
      </w:pPr>
      <w:r>
        <w:rPr>
          <w:rFonts w:hint="default" w:ascii="Times New Roman" w:hAnsi="Times New Roman" w:eastAsia="仿宋_GB2312" w:cs="Times New Roman"/>
          <w:szCs w:val="32"/>
        </w:rPr>
        <w:t>（一）参赛选手的成绩由竞赛</w:t>
      </w:r>
      <w:r>
        <w:rPr>
          <w:rFonts w:hint="eastAsia" w:cs="Times New Roman"/>
          <w:szCs w:val="32"/>
          <w:lang w:eastAsia="zh-CN"/>
        </w:rPr>
        <w:t>裁判</w:t>
      </w:r>
      <w:r>
        <w:rPr>
          <w:rFonts w:hint="default" w:ascii="Times New Roman" w:hAnsi="Times New Roman" w:eastAsia="仿宋_GB2312" w:cs="Times New Roman"/>
          <w:szCs w:val="32"/>
        </w:rPr>
        <w:t>组负责评定。</w:t>
      </w:r>
    </w:p>
    <w:p w14:paraId="5D2F14BC">
      <w:pPr>
        <w:spacing w:line="560" w:lineRule="exact"/>
        <w:ind w:firstLine="680" w:firstLineChars="200"/>
        <w:jc w:val="both"/>
        <w:rPr>
          <w:rFonts w:hint="default" w:ascii="Times New Roman" w:hAnsi="Times New Roman" w:eastAsia="仿宋_GB2312" w:cs="Times New Roman"/>
          <w:szCs w:val="32"/>
        </w:rPr>
      </w:pPr>
      <w:r>
        <w:rPr>
          <w:rFonts w:hint="default" w:ascii="Times New Roman" w:hAnsi="Times New Roman" w:eastAsia="仿宋_GB2312" w:cs="Times New Roman"/>
          <w:szCs w:val="32"/>
        </w:rPr>
        <w:t>（二）</w:t>
      </w:r>
      <w:r>
        <w:rPr>
          <w:rFonts w:hint="default" w:ascii="Times New Roman" w:hAnsi="Times New Roman" w:cs="Times New Roman"/>
          <w:szCs w:val="32"/>
          <w:lang w:eastAsia="zh-CN"/>
        </w:rPr>
        <w:t>初赛</w:t>
      </w:r>
      <w:r>
        <w:rPr>
          <w:rFonts w:hint="default" w:ascii="Times New Roman" w:hAnsi="Times New Roman" w:eastAsia="仿宋_GB2312" w:cs="Times New Roman"/>
          <w:szCs w:val="32"/>
        </w:rPr>
        <w:t>理论知识竞赛由计算机自动判分；决赛实际操作竞赛由现场</w:t>
      </w:r>
      <w:r>
        <w:rPr>
          <w:rFonts w:hint="eastAsia" w:cs="Times New Roman"/>
          <w:szCs w:val="32"/>
          <w:lang w:eastAsia="zh-CN"/>
        </w:rPr>
        <w:t>裁判</w:t>
      </w:r>
      <w:r>
        <w:rPr>
          <w:rFonts w:hint="default" w:ascii="Times New Roman" w:hAnsi="Times New Roman" w:eastAsia="仿宋_GB2312" w:cs="Times New Roman"/>
          <w:szCs w:val="32"/>
        </w:rPr>
        <w:t>组依据参赛选手的实际操作情况</w:t>
      </w:r>
      <w:r>
        <w:rPr>
          <w:rFonts w:hint="eastAsia" w:cs="Times New Roman"/>
          <w:szCs w:val="32"/>
          <w:lang w:eastAsia="zh-CN"/>
        </w:rPr>
        <w:t>，</w:t>
      </w:r>
      <w:r>
        <w:rPr>
          <w:rFonts w:hint="default" w:ascii="Times New Roman" w:hAnsi="Times New Roman" w:eastAsia="仿宋_GB2312" w:cs="Times New Roman"/>
          <w:szCs w:val="32"/>
        </w:rPr>
        <w:t>按竞赛评分表集体评判、计分。</w:t>
      </w:r>
    </w:p>
    <w:p w14:paraId="5C977000">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eastAsia"/>
        </w:rPr>
      </w:pPr>
      <w:r>
        <w:rPr>
          <w:rFonts w:hint="default" w:ascii="Times New Roman" w:hAnsi="Times New Roman" w:eastAsia="仿宋_GB2312" w:cs="Times New Roman"/>
          <w:szCs w:val="32"/>
        </w:rPr>
        <w:t>（三）</w:t>
      </w:r>
      <w:r>
        <w:rPr>
          <w:rFonts w:hint="default" w:ascii="Times New Roman" w:hAnsi="Times New Roman" w:cs="Times New Roman"/>
          <w:lang w:eastAsia="zh-CN"/>
        </w:rPr>
        <w:t>初赛</w:t>
      </w:r>
      <w:r>
        <w:rPr>
          <w:rFonts w:hint="default" w:ascii="Times New Roman" w:hAnsi="Times New Roman" w:eastAsia="仿宋_GB2312" w:cs="Times New Roman"/>
        </w:rPr>
        <w:t>成绩由高到低进行排名，</w:t>
      </w:r>
      <w:r>
        <w:rPr>
          <w:rFonts w:hint="eastAsia"/>
          <w:color w:val="auto"/>
        </w:rPr>
        <w:t>取前</w:t>
      </w:r>
      <w:r>
        <w:rPr>
          <w:rFonts w:hint="eastAsia"/>
          <w:color w:val="auto"/>
          <w:lang w:val="en-US" w:eastAsia="zh-CN"/>
        </w:rPr>
        <w:t>5</w:t>
      </w:r>
      <w:r>
        <w:rPr>
          <w:rFonts w:hint="default"/>
          <w:color w:val="auto"/>
        </w:rPr>
        <w:t>0</w:t>
      </w:r>
      <w:r>
        <w:rPr>
          <w:rFonts w:hint="eastAsia"/>
          <w:color w:val="auto"/>
        </w:rPr>
        <w:t>名选手</w:t>
      </w:r>
      <w:r>
        <w:rPr>
          <w:rFonts w:hint="eastAsia"/>
          <w:lang w:eastAsia="zh-CN"/>
        </w:rPr>
        <w:t>。</w:t>
      </w:r>
      <w:r>
        <w:rPr>
          <w:rFonts w:hint="eastAsia"/>
        </w:rPr>
        <w:t>当初赛选手成绩相同时，以初赛用时短者名次在前。如遇选手弃赛，依次递补。</w:t>
      </w:r>
    </w:p>
    <w:p w14:paraId="52D39DBD">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FF0000"/>
          <w:szCs w:val="32"/>
        </w:rPr>
      </w:pPr>
      <w:r>
        <w:rPr>
          <w:rFonts w:hint="eastAsia"/>
        </w:rPr>
        <w:t>（四）参赛选手最终名次依据初赛和决赛两部分成绩按比例累加的综合成绩进行排名。参赛选手赛后综合成绩=初赛成绩*</w:t>
      </w:r>
      <w:r>
        <w:rPr>
          <w:rFonts w:hint="default"/>
        </w:rPr>
        <w:t>30%</w:t>
      </w:r>
      <w:r>
        <w:rPr>
          <w:rFonts w:hint="eastAsia"/>
        </w:rPr>
        <w:t>+决赛成绩*</w:t>
      </w:r>
      <w:r>
        <w:rPr>
          <w:rFonts w:hint="default"/>
        </w:rPr>
        <w:t>70%</w:t>
      </w:r>
      <w:r>
        <w:rPr>
          <w:rFonts w:hint="eastAsia"/>
        </w:rPr>
        <w:t>。当综合成绩相同时，以决赛成绩高者名次在前。如仍相同，以决赛用时短者名次在前。</w:t>
      </w:r>
    </w:p>
    <w:p w14:paraId="4FAA9FBC">
      <w:pPr>
        <w:spacing w:line="560" w:lineRule="exact"/>
        <w:ind w:firstLine="680" w:firstLineChars="200"/>
        <w:jc w:val="both"/>
        <w:rPr>
          <w:rFonts w:hint="default" w:ascii="Times New Roman" w:hAnsi="Times New Roman" w:eastAsia="黑体" w:cs="Times New Roman"/>
          <w:bCs/>
          <w:color w:val="000000"/>
        </w:rPr>
      </w:pPr>
      <w:r>
        <w:rPr>
          <w:rFonts w:hint="default" w:ascii="Times New Roman" w:hAnsi="Times New Roman" w:eastAsia="黑体" w:cs="Times New Roman"/>
          <w:bCs/>
          <w:color w:val="000000"/>
        </w:rPr>
        <w:t>四、竞赛场地与设备</w:t>
      </w:r>
    </w:p>
    <w:p w14:paraId="70D79EAD">
      <w:pPr>
        <w:spacing w:line="560" w:lineRule="exact"/>
        <w:ind w:firstLine="680" w:firstLineChars="200"/>
        <w:jc w:val="both"/>
        <w:rPr>
          <w:rFonts w:hint="default" w:ascii="Times New Roman" w:hAnsi="Times New Roman" w:eastAsia="楷体_GB2312" w:cs="Times New Roman"/>
          <w:color w:val="auto"/>
        </w:rPr>
      </w:pPr>
      <w:r>
        <w:rPr>
          <w:rFonts w:hint="default" w:ascii="Times New Roman" w:hAnsi="Times New Roman" w:eastAsia="楷体_GB2312" w:cs="Times New Roman"/>
          <w:color w:val="auto"/>
        </w:rPr>
        <w:t>（一）竞赛场地工位图</w:t>
      </w:r>
    </w:p>
    <w:p w14:paraId="1FD5F325">
      <w:pPr>
        <w:pStyle w:val="10"/>
        <w:spacing w:after="0" w:line="560" w:lineRule="exact"/>
        <w:ind w:firstLine="616"/>
        <w:rPr>
          <w:rFonts w:hint="default" w:ascii="Times New Roman" w:hAnsi="Times New Roman" w:eastAsia="仿宋_GB2312" w:cs="Times New Roman"/>
          <w:color w:val="auto"/>
          <w:lang w:eastAsia="zh-CN"/>
        </w:rPr>
      </w:pPr>
      <w:r>
        <w:rPr>
          <w:rFonts w:hint="default" w:ascii="Times New Roman" w:hAnsi="Times New Roman" w:eastAsia="仿宋_GB2312" w:cs="Times New Roman"/>
          <w:color w:val="auto"/>
        </w:rPr>
        <w:t>1.</w:t>
      </w:r>
      <w:r>
        <w:rPr>
          <w:rFonts w:hint="default" w:ascii="Times New Roman" w:hAnsi="Times New Roman" w:cs="Times New Roman"/>
          <w:color w:val="auto"/>
          <w:lang w:eastAsia="zh-CN"/>
        </w:rPr>
        <w:t>初赛</w:t>
      </w:r>
    </w:p>
    <w:p w14:paraId="53DC195C">
      <w:pPr>
        <w:pStyle w:val="10"/>
        <w:spacing w:after="0" w:line="560" w:lineRule="exact"/>
        <w:ind w:firstLine="616"/>
        <w:rPr>
          <w:rFonts w:hint="default" w:ascii="Times New Roman" w:hAnsi="Times New Roman" w:eastAsia="仿宋_GB2312" w:cs="Times New Roman"/>
          <w:color w:val="auto"/>
        </w:rPr>
      </w:pPr>
      <w:r>
        <w:rPr>
          <w:rFonts w:hint="default" w:ascii="Times New Roman" w:hAnsi="Times New Roman" w:eastAsia="仿宋_GB2312" w:cs="Times New Roman"/>
          <w:color w:val="auto"/>
          <w:u w:val="none"/>
        </w:rPr>
        <w:t>参照计算机类工种职业技能鉴定要求布置赛场，配备与参赛人数相适应的计算机设备及桌椅，并留有一定数量的备用。</w:t>
      </w:r>
    </w:p>
    <w:p w14:paraId="1ECE9496">
      <w:pPr>
        <w:pStyle w:val="10"/>
        <w:spacing w:after="0" w:line="560" w:lineRule="exact"/>
        <w:ind w:firstLine="616"/>
        <w:rPr>
          <w:rFonts w:hint="default" w:ascii="Times New Roman" w:hAnsi="Times New Roman" w:eastAsia="仿宋_GB2312" w:cs="Times New Roman"/>
          <w:color w:val="auto"/>
        </w:rPr>
      </w:pPr>
      <w:r>
        <w:rPr>
          <w:rFonts w:hint="default" w:ascii="Times New Roman" w:hAnsi="Times New Roman" w:eastAsia="仿宋_GB2312" w:cs="Times New Roman"/>
          <w:color w:val="auto"/>
        </w:rPr>
        <w:t>2.决赛</w:t>
      </w:r>
    </w:p>
    <w:p w14:paraId="58A60BAA">
      <w:pPr>
        <w:spacing w:line="560" w:lineRule="exact"/>
        <w:ind w:firstLine="680" w:firstLineChars="200"/>
        <w:jc w:val="both"/>
        <w:rPr>
          <w:rFonts w:hint="default" w:ascii="Times New Roman" w:hAnsi="Times New Roman" w:eastAsia="仿宋_GB2312" w:cs="Times New Roman"/>
          <w:color w:val="auto"/>
        </w:rPr>
      </w:pPr>
      <w:r>
        <w:rPr>
          <w:rFonts w:hint="default" w:ascii="Times New Roman" w:hAnsi="Times New Roman" w:eastAsia="仿宋_GB2312" w:cs="Times New Roman"/>
          <w:color w:val="auto"/>
        </w:rPr>
        <w:t>工位图见下图</w:t>
      </w:r>
    </w:p>
    <w:p w14:paraId="3545C02C">
      <w:pPr>
        <w:pStyle w:val="8"/>
        <w:rPr>
          <w:rFonts w:hint="default" w:ascii="Times New Roman" w:hAnsi="Times New Roman" w:eastAsia="仿宋_GB2312" w:cs="Times New Roman"/>
          <w:color w:val="FF0000"/>
        </w:rPr>
      </w:pPr>
      <w:r>
        <w:rPr>
          <w:rFonts w:hint="eastAsia"/>
          <w:lang w:val="en-US" w:eastAsia="zh-CN"/>
        </w:rPr>
        <w:t xml:space="preserve">  </w:t>
      </w:r>
      <w:r>
        <w:drawing>
          <wp:inline distT="0" distB="0" distL="0" distR="0">
            <wp:extent cx="5428615" cy="3959225"/>
            <wp:effectExtent l="0" t="0" r="635" b="3175"/>
            <wp:docPr id="5" name="图片 5" descr="C:\Users\30305\Desktop\新建文件夹 (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30305\Desktop\新建文件夹 (4)\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428615" cy="3959225"/>
                    </a:xfrm>
                    <a:prstGeom prst="rect">
                      <a:avLst/>
                    </a:prstGeom>
                    <a:noFill/>
                    <a:ln>
                      <a:noFill/>
                    </a:ln>
                  </pic:spPr>
                </pic:pic>
              </a:graphicData>
            </a:graphic>
          </wp:inline>
        </w:drawing>
      </w:r>
      <w:r>
        <w:rPr>
          <w:rFonts w:hint="eastAsia"/>
          <w:lang w:val="en-US" w:eastAsia="zh-CN"/>
        </w:rPr>
        <w:t xml:space="preserve">   </w:t>
      </w:r>
      <w:r>
        <w:drawing>
          <wp:inline distT="0" distB="0" distL="0" distR="0">
            <wp:extent cx="5352415" cy="4016375"/>
            <wp:effectExtent l="0" t="0" r="635" b="3175"/>
            <wp:docPr id="4" name="图片 4" descr="C:\Users\30305\Desktop\新建文件夹 (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30305\Desktop\新建文件夹 (4)\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352415" cy="4016375"/>
                    </a:xfrm>
                    <a:prstGeom prst="rect">
                      <a:avLst/>
                    </a:prstGeom>
                    <a:noFill/>
                    <a:ln>
                      <a:noFill/>
                    </a:ln>
                  </pic:spPr>
                </pic:pic>
              </a:graphicData>
            </a:graphic>
          </wp:inline>
        </w:drawing>
      </w:r>
    </w:p>
    <w:p w14:paraId="50D53D86">
      <w:pPr>
        <w:numPr>
          <w:ilvl w:val="0"/>
          <w:numId w:val="1"/>
        </w:numPr>
        <w:spacing w:line="560" w:lineRule="exact"/>
        <w:ind w:left="0" w:leftChars="0" w:firstLine="680" w:firstLineChars="200"/>
        <w:jc w:val="both"/>
        <w:rPr>
          <w:rFonts w:hint="default" w:ascii="Times New Roman" w:hAnsi="Times New Roman" w:eastAsia="楷体_GB2312" w:cs="Times New Roman"/>
          <w:color w:val="auto"/>
        </w:rPr>
      </w:pPr>
      <w:r>
        <w:rPr>
          <w:rFonts w:hint="default" w:ascii="Times New Roman" w:hAnsi="Times New Roman" w:eastAsia="楷体_GB2312" w:cs="Times New Roman"/>
          <w:color w:val="auto"/>
        </w:rPr>
        <w:t>竞赛设备</w:t>
      </w:r>
    </w:p>
    <w:p w14:paraId="302F4AE1">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lang w:val="en-US" w:eastAsia="zh-CN"/>
        </w:rPr>
      </w:pPr>
      <w:r>
        <w:rPr>
          <w:rFonts w:hint="default"/>
          <w:lang w:val="en-US" w:eastAsia="zh-CN"/>
        </w:rPr>
        <w:t>1.初赛竞赛设备清单</w:t>
      </w:r>
    </w:p>
    <w:p w14:paraId="49CC0EE2">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lang w:val="en-US" w:eastAsia="zh-CN"/>
        </w:rPr>
      </w:pPr>
      <w:r>
        <w:rPr>
          <w:rFonts w:hint="default"/>
          <w:lang w:val="en-US" w:eastAsia="zh-CN"/>
        </w:rPr>
        <w:t>（1）执委会提供物资</w:t>
      </w:r>
    </w:p>
    <w:tbl>
      <w:tblPr>
        <w:tblStyle w:val="12"/>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7"/>
        <w:gridCol w:w="4018"/>
        <w:gridCol w:w="1725"/>
        <w:gridCol w:w="1497"/>
      </w:tblGrid>
      <w:tr w14:paraId="2A6A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0" w:type="auto"/>
            <w:vAlign w:val="center"/>
          </w:tcPr>
          <w:p w14:paraId="36BF3509">
            <w:pPr>
              <w:pStyle w:val="22"/>
              <w:overflowPunct/>
              <w:autoSpaceDE/>
              <w:autoSpaceDN/>
              <w:adjustRightInd/>
              <w:spacing w:line="0" w:lineRule="atLeast"/>
              <w:jc w:val="center"/>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序号</w:t>
            </w:r>
          </w:p>
        </w:tc>
        <w:tc>
          <w:tcPr>
            <w:tcW w:w="4019" w:type="dxa"/>
            <w:vAlign w:val="center"/>
          </w:tcPr>
          <w:p w14:paraId="3E6CBEFE">
            <w:pPr>
              <w:pStyle w:val="22"/>
              <w:overflowPunct/>
              <w:autoSpaceDE/>
              <w:autoSpaceDN/>
              <w:adjustRightInd/>
              <w:spacing w:line="0" w:lineRule="atLeast"/>
              <w:jc w:val="center"/>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color w:val="0D0D0D"/>
                <w:spacing w:val="-6"/>
                <w:kern w:val="2"/>
                <w:sz w:val="28"/>
                <w:szCs w:val="28"/>
                <w:lang w:val="en-US" w:eastAsia="zh-CN" w:bidi="ar-SA"/>
              </w:rPr>
              <w:t>执委会提供物资</w:t>
            </w:r>
          </w:p>
        </w:tc>
        <w:tc>
          <w:tcPr>
            <w:tcW w:w="1725" w:type="dxa"/>
            <w:vAlign w:val="center"/>
          </w:tcPr>
          <w:p w14:paraId="16F03D0F">
            <w:pPr>
              <w:pStyle w:val="22"/>
              <w:overflowPunct/>
              <w:autoSpaceDE/>
              <w:autoSpaceDN/>
              <w:adjustRightInd/>
              <w:spacing w:line="0" w:lineRule="atLeast"/>
              <w:jc w:val="center"/>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数量</w:t>
            </w:r>
          </w:p>
        </w:tc>
        <w:tc>
          <w:tcPr>
            <w:tcW w:w="0" w:type="auto"/>
            <w:vAlign w:val="center"/>
          </w:tcPr>
          <w:p w14:paraId="36FB8D03">
            <w:pPr>
              <w:pStyle w:val="22"/>
              <w:overflowPunct/>
              <w:autoSpaceDE/>
              <w:autoSpaceDN/>
              <w:adjustRightInd/>
              <w:spacing w:line="0" w:lineRule="atLeast"/>
              <w:jc w:val="center"/>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备注</w:t>
            </w:r>
          </w:p>
        </w:tc>
      </w:tr>
      <w:tr w14:paraId="655E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0" w:type="auto"/>
            <w:vAlign w:val="center"/>
          </w:tcPr>
          <w:p w14:paraId="43976479">
            <w:pPr>
              <w:pStyle w:val="22"/>
              <w:overflowPunct/>
              <w:autoSpaceDE/>
              <w:autoSpaceDN/>
              <w:adjustRightIn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r>
              <w:rPr>
                <w:rFonts w:hint="eastAsia" w:ascii="仿宋_GB2312" w:hAnsi="仿宋_GB2312" w:eastAsia="仿宋_GB2312" w:cs="仿宋_GB2312"/>
                <w:spacing w:val="0"/>
                <w:sz w:val="28"/>
                <w:szCs w:val="28"/>
                <w:highlight w:val="none"/>
                <w:vertAlign w:val="baseline"/>
                <w:lang w:val="en-US" w:eastAsia="zh-CN"/>
              </w:rPr>
              <w:t>1</w:t>
            </w:r>
          </w:p>
        </w:tc>
        <w:tc>
          <w:tcPr>
            <w:tcW w:w="4019" w:type="dxa"/>
            <w:vAlign w:val="center"/>
          </w:tcPr>
          <w:p w14:paraId="29E9C435">
            <w:pPr>
              <w:pStyle w:val="22"/>
              <w:overflowPunct/>
              <w:autoSpaceDE/>
              <w:autoSpaceDN/>
              <w:adjustRightIn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r>
              <w:rPr>
                <w:rFonts w:hint="eastAsia" w:ascii="仿宋_GB2312" w:hAnsi="仿宋_GB2312" w:eastAsia="仿宋_GB2312" w:cs="仿宋_GB2312"/>
                <w:spacing w:val="0"/>
                <w:kern w:val="2"/>
                <w:sz w:val="28"/>
                <w:szCs w:val="28"/>
                <w:highlight w:val="none"/>
                <w:lang w:val="en-US" w:eastAsia="zh-CN" w:bidi="ar-SA"/>
              </w:rPr>
              <w:t>计算机</w:t>
            </w:r>
          </w:p>
        </w:tc>
        <w:tc>
          <w:tcPr>
            <w:tcW w:w="1725" w:type="dxa"/>
            <w:vAlign w:val="center"/>
          </w:tcPr>
          <w:p w14:paraId="4E1FFE2E">
            <w:pPr>
              <w:pStyle w:val="22"/>
              <w:overflowPunct/>
              <w:autoSpaceDE/>
              <w:autoSpaceDN/>
              <w:adjustRightIn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r>
              <w:rPr>
                <w:rFonts w:hint="eastAsia" w:ascii="仿宋_GB2312" w:hAnsi="仿宋_GB2312" w:eastAsia="仿宋_GB2312" w:cs="仿宋_GB2312"/>
                <w:spacing w:val="0"/>
                <w:sz w:val="28"/>
                <w:szCs w:val="28"/>
                <w:highlight w:val="none"/>
                <w:vertAlign w:val="baseline"/>
                <w:lang w:val="en-US" w:eastAsia="zh-CN"/>
              </w:rPr>
              <w:t>1台</w:t>
            </w:r>
          </w:p>
        </w:tc>
        <w:tc>
          <w:tcPr>
            <w:tcW w:w="0" w:type="auto"/>
            <w:vAlign w:val="center"/>
          </w:tcPr>
          <w:p w14:paraId="6DEC1235">
            <w:pPr>
              <w:pStyle w:val="22"/>
              <w:overflowPunct/>
              <w:autoSpaceDE/>
              <w:autoSpaceDN/>
              <w:adjustRightIn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p>
        </w:tc>
      </w:tr>
      <w:tr w14:paraId="0F005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0" w:type="auto"/>
            <w:vAlign w:val="center"/>
          </w:tcPr>
          <w:p w14:paraId="3FB23FFF">
            <w:pPr>
              <w:pStyle w:val="22"/>
              <w:overflowPunct/>
              <w:autoSpaceDE/>
              <w:autoSpaceDN/>
              <w:adjustRightIn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r>
              <w:rPr>
                <w:rFonts w:hint="eastAsia" w:ascii="仿宋_GB2312" w:hAnsi="仿宋_GB2312" w:eastAsia="仿宋_GB2312" w:cs="仿宋_GB2312"/>
                <w:spacing w:val="0"/>
                <w:sz w:val="28"/>
                <w:szCs w:val="28"/>
                <w:highlight w:val="none"/>
                <w:vertAlign w:val="baseline"/>
                <w:lang w:val="en-US" w:eastAsia="zh-CN"/>
              </w:rPr>
              <w:t>2</w:t>
            </w:r>
          </w:p>
        </w:tc>
        <w:tc>
          <w:tcPr>
            <w:tcW w:w="4019" w:type="dxa"/>
            <w:vAlign w:val="center"/>
          </w:tcPr>
          <w:p w14:paraId="06A03AF8">
            <w:pPr>
              <w:pStyle w:val="22"/>
              <w:overflowPunct/>
              <w:autoSpaceDE/>
              <w:autoSpaceDN/>
              <w:adjustRightIn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r>
              <w:rPr>
                <w:rFonts w:hint="eastAsia" w:ascii="仿宋_GB2312" w:hAnsi="仿宋_GB2312" w:eastAsia="仿宋_GB2312" w:cs="仿宋_GB2312"/>
                <w:spacing w:val="0"/>
                <w:kern w:val="2"/>
                <w:sz w:val="28"/>
                <w:szCs w:val="28"/>
                <w:highlight w:val="none"/>
                <w:lang w:val="en-US" w:eastAsia="zh-CN" w:bidi="ar-SA"/>
              </w:rPr>
              <w:t>草稿纸</w:t>
            </w:r>
          </w:p>
        </w:tc>
        <w:tc>
          <w:tcPr>
            <w:tcW w:w="1725" w:type="dxa"/>
            <w:vAlign w:val="center"/>
          </w:tcPr>
          <w:p w14:paraId="3751B1A3">
            <w:pPr>
              <w:pStyle w:val="22"/>
              <w:overflowPunct/>
              <w:autoSpaceDE/>
              <w:autoSpaceDN/>
              <w:adjustRightIn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r>
              <w:rPr>
                <w:rFonts w:hint="eastAsia" w:ascii="仿宋_GB2312" w:hAnsi="仿宋_GB2312" w:eastAsia="仿宋_GB2312" w:cs="仿宋_GB2312"/>
                <w:spacing w:val="0"/>
                <w:sz w:val="28"/>
                <w:szCs w:val="28"/>
                <w:highlight w:val="none"/>
                <w:vertAlign w:val="baseline"/>
                <w:lang w:val="en-US" w:eastAsia="zh-CN"/>
              </w:rPr>
              <w:t>2张</w:t>
            </w:r>
          </w:p>
        </w:tc>
        <w:tc>
          <w:tcPr>
            <w:tcW w:w="0" w:type="auto"/>
            <w:vAlign w:val="center"/>
          </w:tcPr>
          <w:p w14:paraId="49AF7633">
            <w:pPr>
              <w:pStyle w:val="22"/>
              <w:overflowPunct/>
              <w:autoSpaceDE/>
              <w:autoSpaceDN/>
              <w:adjustRightIn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p>
        </w:tc>
      </w:tr>
      <w:tr w14:paraId="6726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0" w:type="auto"/>
            <w:vAlign w:val="center"/>
          </w:tcPr>
          <w:p w14:paraId="0A80CC26">
            <w:pPr>
              <w:pStyle w:val="22"/>
              <w:overflowPunct/>
              <w:autoSpaceDE/>
              <w:autoSpaceDN/>
              <w:adjustRightIn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r>
              <w:rPr>
                <w:rFonts w:hint="eastAsia" w:ascii="仿宋_GB2312" w:hAnsi="仿宋_GB2312" w:eastAsia="仿宋_GB2312" w:cs="仿宋_GB2312"/>
                <w:spacing w:val="0"/>
                <w:sz w:val="28"/>
                <w:szCs w:val="28"/>
                <w:highlight w:val="none"/>
                <w:vertAlign w:val="baseline"/>
                <w:lang w:val="en-US" w:eastAsia="zh-CN"/>
              </w:rPr>
              <w:t>3</w:t>
            </w:r>
          </w:p>
        </w:tc>
        <w:tc>
          <w:tcPr>
            <w:tcW w:w="4019" w:type="dxa"/>
            <w:vAlign w:val="center"/>
          </w:tcPr>
          <w:p w14:paraId="461EC32F">
            <w:pPr>
              <w:pStyle w:val="22"/>
              <w:overflowPunct/>
              <w:autoSpaceDE/>
              <w:autoSpaceDN/>
              <w:adjustRightInd/>
              <w:spacing w:line="0" w:lineRule="atLeast"/>
              <w:jc w:val="center"/>
              <w:textAlignment w:val="auto"/>
              <w:rPr>
                <w:rFonts w:hint="eastAsia" w:ascii="仿宋_GB2312" w:hAnsi="仿宋_GB2312" w:eastAsia="仿宋_GB2312" w:cs="仿宋_GB2312"/>
                <w:spacing w:val="0"/>
                <w:kern w:val="2"/>
                <w:sz w:val="28"/>
                <w:szCs w:val="28"/>
                <w:highlight w:val="none"/>
                <w:lang w:val="en-US" w:eastAsia="zh-CN" w:bidi="ar-SA"/>
              </w:rPr>
            </w:pPr>
            <w:r>
              <w:rPr>
                <w:rFonts w:hint="eastAsia" w:ascii="仿宋_GB2312" w:hAnsi="仿宋_GB2312" w:eastAsia="仿宋_GB2312" w:cs="仿宋_GB2312"/>
                <w:spacing w:val="0"/>
                <w:kern w:val="2"/>
                <w:sz w:val="28"/>
                <w:szCs w:val="28"/>
                <w:highlight w:val="none"/>
                <w:lang w:val="en-US" w:eastAsia="zh-CN" w:bidi="ar-SA"/>
              </w:rPr>
              <w:t>签字笔</w:t>
            </w:r>
          </w:p>
        </w:tc>
        <w:tc>
          <w:tcPr>
            <w:tcW w:w="1725" w:type="dxa"/>
            <w:vAlign w:val="center"/>
          </w:tcPr>
          <w:p w14:paraId="09C04562">
            <w:pPr>
              <w:pStyle w:val="22"/>
              <w:overflowPunct/>
              <w:autoSpaceDE/>
              <w:autoSpaceDN/>
              <w:adjustRightIn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r>
              <w:rPr>
                <w:rFonts w:hint="eastAsia" w:ascii="仿宋_GB2312" w:hAnsi="仿宋_GB2312" w:eastAsia="仿宋_GB2312" w:cs="仿宋_GB2312"/>
                <w:spacing w:val="0"/>
                <w:sz w:val="28"/>
                <w:szCs w:val="28"/>
                <w:highlight w:val="none"/>
                <w:vertAlign w:val="baseline"/>
                <w:lang w:val="en-US" w:eastAsia="zh-CN"/>
              </w:rPr>
              <w:t>1支</w:t>
            </w:r>
          </w:p>
        </w:tc>
        <w:tc>
          <w:tcPr>
            <w:tcW w:w="0" w:type="auto"/>
            <w:vAlign w:val="center"/>
          </w:tcPr>
          <w:p w14:paraId="215288E2">
            <w:pPr>
              <w:pStyle w:val="22"/>
              <w:overflowPunct/>
              <w:autoSpaceDE/>
              <w:autoSpaceDN/>
              <w:adjustRightIn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p>
        </w:tc>
      </w:tr>
    </w:tbl>
    <w:p w14:paraId="5EBAD020">
      <w:pPr>
        <w:keepNext w:val="0"/>
        <w:keepLines w:val="0"/>
        <w:pageBreakBefore w:val="0"/>
        <w:numPr>
          <w:ilvl w:val="0"/>
          <w:numId w:val="3"/>
        </w:numPr>
        <w:kinsoku/>
        <w:wordWrap/>
        <w:topLinePunct w:val="0"/>
        <w:bidi w:val="0"/>
        <w:spacing w:line="560" w:lineRule="exact"/>
        <w:ind w:firstLine="680" w:firstLineChars="200"/>
        <w:jc w:val="left"/>
        <w:rPr>
          <w:rFonts w:hint="default"/>
          <w:lang w:val="en-US" w:eastAsia="zh-CN"/>
        </w:rPr>
      </w:pPr>
      <w:r>
        <w:rPr>
          <w:rFonts w:hint="default" w:ascii="Times New Roman" w:hAnsi="Times New Roman" w:eastAsia="仿宋_GB2312" w:cs="Times New Roman"/>
          <w:b w:val="0"/>
          <w:bCs w:val="0"/>
          <w:color w:val="0D0D0D"/>
          <w:spacing w:val="-6"/>
          <w:kern w:val="2"/>
          <w:sz w:val="32"/>
          <w:szCs w:val="32"/>
          <w:lang w:val="en-US" w:eastAsia="zh-CN" w:bidi="ar-SA"/>
        </w:rPr>
        <w:t>自带物资</w:t>
      </w:r>
    </w:p>
    <w:tbl>
      <w:tblPr>
        <w:tblStyle w:val="12"/>
        <w:tblW w:w="87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8"/>
        <w:gridCol w:w="4010"/>
        <w:gridCol w:w="1750"/>
        <w:gridCol w:w="1485"/>
      </w:tblGrid>
      <w:tr w14:paraId="1119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3" w:hRule="atLeast"/>
          <w:jc w:val="center"/>
        </w:trPr>
        <w:tc>
          <w:tcPr>
            <w:tcW w:w="1498" w:type="dxa"/>
            <w:vAlign w:val="center"/>
          </w:tcPr>
          <w:p w14:paraId="0C6B69DD">
            <w:pPr>
              <w:pStyle w:val="22"/>
              <w:keepNext w:val="0"/>
              <w:keepLines w:val="0"/>
              <w:pageBreakBefore w:val="0"/>
              <w:kinsoku/>
              <w:wordWrap/>
              <w:topLinePunct w:val="0"/>
              <w:bidi w:val="0"/>
              <w:spacing w:line="0" w:lineRule="atLeast"/>
              <w:jc w:val="center"/>
              <w:rPr>
                <w:rFonts w:hint="eastAsia" w:ascii="仿宋_GB2312" w:hAnsi="仿宋_GB2312" w:eastAsia="仿宋_GB2312" w:cs="仿宋_GB2312"/>
                <w:b/>
                <w:bCs/>
                <w:spacing w:val="-6"/>
                <w:kern w:val="2"/>
                <w:sz w:val="28"/>
                <w:szCs w:val="28"/>
                <w:vertAlign w:val="baseline"/>
                <w:lang w:val="en-US" w:eastAsia="zh-CN" w:bidi="ar-SA"/>
              </w:rPr>
            </w:pPr>
            <w:r>
              <w:rPr>
                <w:rFonts w:hint="eastAsia" w:ascii="仿宋_GB2312" w:hAnsi="仿宋_GB2312" w:eastAsia="仿宋_GB2312" w:cs="仿宋_GB2312"/>
                <w:b/>
                <w:bCs/>
                <w:spacing w:val="-6"/>
                <w:kern w:val="2"/>
                <w:sz w:val="28"/>
                <w:szCs w:val="28"/>
                <w:vertAlign w:val="baseline"/>
                <w:lang w:val="en-US" w:eastAsia="zh-CN" w:bidi="ar-SA"/>
              </w:rPr>
              <w:t>序号</w:t>
            </w:r>
          </w:p>
        </w:tc>
        <w:tc>
          <w:tcPr>
            <w:tcW w:w="4010" w:type="dxa"/>
            <w:vAlign w:val="center"/>
          </w:tcPr>
          <w:p w14:paraId="6BDD6F40">
            <w:pPr>
              <w:pStyle w:val="22"/>
              <w:keepNext w:val="0"/>
              <w:keepLines w:val="0"/>
              <w:pageBreakBefore w:val="0"/>
              <w:kinsoku/>
              <w:wordWrap/>
              <w:topLinePunct w:val="0"/>
              <w:bidi w:val="0"/>
              <w:spacing w:line="0" w:lineRule="atLeast"/>
              <w:jc w:val="center"/>
              <w:rPr>
                <w:rFonts w:hint="eastAsia" w:ascii="仿宋_GB2312" w:hAnsi="仿宋_GB2312" w:eastAsia="仿宋_GB2312" w:cs="仿宋_GB2312"/>
                <w:b/>
                <w:bCs/>
                <w:spacing w:val="-6"/>
                <w:kern w:val="2"/>
                <w:sz w:val="28"/>
                <w:szCs w:val="28"/>
                <w:vertAlign w:val="baseline"/>
                <w:lang w:val="en-US" w:eastAsia="zh-CN" w:bidi="ar-SA"/>
              </w:rPr>
            </w:pPr>
            <w:r>
              <w:rPr>
                <w:rFonts w:hint="eastAsia" w:ascii="仿宋_GB2312" w:hAnsi="仿宋_GB2312" w:eastAsia="仿宋_GB2312" w:cs="仿宋_GB2312"/>
                <w:b/>
                <w:bCs/>
                <w:spacing w:val="-6"/>
                <w:kern w:val="2"/>
                <w:sz w:val="28"/>
                <w:szCs w:val="28"/>
                <w:vertAlign w:val="baseline"/>
                <w:lang w:val="en-US" w:eastAsia="zh-CN" w:bidi="ar-SA"/>
              </w:rPr>
              <w:t>自带物资</w:t>
            </w:r>
          </w:p>
        </w:tc>
        <w:tc>
          <w:tcPr>
            <w:tcW w:w="1750" w:type="dxa"/>
            <w:vAlign w:val="center"/>
          </w:tcPr>
          <w:p w14:paraId="7AEFD07D">
            <w:pPr>
              <w:pStyle w:val="22"/>
              <w:keepNext w:val="0"/>
              <w:keepLines w:val="0"/>
              <w:pageBreakBefore w:val="0"/>
              <w:kinsoku/>
              <w:wordWrap/>
              <w:topLinePunct w:val="0"/>
              <w:bidi w:val="0"/>
              <w:spacing w:line="0" w:lineRule="atLeast"/>
              <w:jc w:val="center"/>
              <w:rPr>
                <w:rFonts w:hint="eastAsia" w:ascii="仿宋_GB2312" w:hAnsi="仿宋_GB2312" w:eastAsia="仿宋_GB2312" w:cs="仿宋_GB2312"/>
                <w:b/>
                <w:bCs/>
                <w:spacing w:val="-6"/>
                <w:kern w:val="2"/>
                <w:sz w:val="28"/>
                <w:szCs w:val="28"/>
                <w:vertAlign w:val="baseline"/>
                <w:lang w:val="en-US" w:eastAsia="zh-CN" w:bidi="ar-SA"/>
              </w:rPr>
            </w:pPr>
            <w:r>
              <w:rPr>
                <w:rFonts w:hint="eastAsia" w:ascii="仿宋_GB2312" w:hAnsi="仿宋_GB2312" w:eastAsia="仿宋_GB2312" w:cs="仿宋_GB2312"/>
                <w:b/>
                <w:bCs/>
                <w:sz w:val="28"/>
                <w:szCs w:val="28"/>
                <w:vertAlign w:val="baseline"/>
                <w:lang w:val="en-US" w:eastAsia="zh-CN"/>
              </w:rPr>
              <w:t>数量</w:t>
            </w:r>
          </w:p>
        </w:tc>
        <w:tc>
          <w:tcPr>
            <w:tcW w:w="1485" w:type="dxa"/>
            <w:vAlign w:val="center"/>
          </w:tcPr>
          <w:p w14:paraId="4F0CEB4E">
            <w:pPr>
              <w:pStyle w:val="22"/>
              <w:keepNext w:val="0"/>
              <w:keepLines w:val="0"/>
              <w:pageBreakBefore w:val="0"/>
              <w:kinsoku/>
              <w:wordWrap/>
              <w:topLinePunct w:val="0"/>
              <w:bidi w:val="0"/>
              <w:spacing w:line="0" w:lineRule="atLeast"/>
              <w:jc w:val="center"/>
              <w:rPr>
                <w:rFonts w:hint="eastAsia" w:ascii="仿宋_GB2312" w:hAnsi="仿宋_GB2312" w:eastAsia="仿宋_GB2312" w:cs="仿宋_GB2312"/>
                <w:b/>
                <w:bCs/>
                <w:spacing w:val="-6"/>
                <w:kern w:val="2"/>
                <w:sz w:val="28"/>
                <w:szCs w:val="28"/>
                <w:vertAlign w:val="baseline"/>
                <w:lang w:val="en-US" w:eastAsia="zh-CN" w:bidi="ar-SA"/>
              </w:rPr>
            </w:pPr>
            <w:r>
              <w:rPr>
                <w:rFonts w:hint="eastAsia" w:ascii="仿宋_GB2312" w:hAnsi="仿宋_GB2312" w:eastAsia="仿宋_GB2312" w:cs="仿宋_GB2312"/>
                <w:b/>
                <w:bCs/>
                <w:spacing w:val="-6"/>
                <w:kern w:val="2"/>
                <w:sz w:val="28"/>
                <w:szCs w:val="28"/>
                <w:vertAlign w:val="baseline"/>
                <w:lang w:val="en-US" w:eastAsia="zh-CN" w:bidi="ar-SA"/>
              </w:rPr>
              <w:t>备注</w:t>
            </w:r>
          </w:p>
        </w:tc>
      </w:tr>
      <w:tr w14:paraId="6D00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498" w:type="dxa"/>
            <w:vAlign w:val="center"/>
          </w:tcPr>
          <w:p w14:paraId="5AE67432">
            <w:pPr>
              <w:pStyle w:val="22"/>
              <w:keepNext w:val="0"/>
              <w:keepLines w:val="0"/>
              <w:pageBreakBefore w:val="0"/>
              <w:kinsoku/>
              <w:wordWrap/>
              <w:topLinePunct w:val="0"/>
              <w:bidi w:val="0"/>
              <w:spacing w:line="0" w:lineRule="atLeast"/>
              <w:jc w:val="center"/>
              <w:rPr>
                <w:rFonts w:hint="eastAsia" w:ascii="仿宋_GB2312" w:hAnsi="仿宋_GB2312" w:eastAsia="仿宋_GB2312" w:cs="仿宋_GB2312"/>
                <w:spacing w:val="0"/>
                <w:kern w:val="2"/>
                <w:sz w:val="28"/>
                <w:szCs w:val="28"/>
                <w:highlight w:val="none"/>
                <w:vertAlign w:val="baseline"/>
                <w:lang w:val="en-US" w:eastAsia="zh-CN" w:bidi="ar-SA"/>
              </w:rPr>
            </w:pPr>
            <w:r>
              <w:rPr>
                <w:rFonts w:hint="eastAsia" w:ascii="仿宋_GB2312" w:hAnsi="仿宋_GB2312" w:eastAsia="仿宋_GB2312" w:cs="仿宋_GB2312"/>
                <w:spacing w:val="0"/>
                <w:kern w:val="2"/>
                <w:sz w:val="28"/>
                <w:szCs w:val="28"/>
                <w:highlight w:val="none"/>
                <w:vertAlign w:val="baseline"/>
                <w:lang w:val="en-US" w:eastAsia="zh-CN" w:bidi="ar-SA"/>
              </w:rPr>
              <w:t>1</w:t>
            </w:r>
          </w:p>
        </w:tc>
        <w:tc>
          <w:tcPr>
            <w:tcW w:w="4010" w:type="dxa"/>
            <w:vAlign w:val="center"/>
          </w:tcPr>
          <w:p w14:paraId="18D42330">
            <w:pPr>
              <w:pStyle w:val="22"/>
              <w:spacing w:line="0" w:lineRule="atLeast"/>
              <w:jc w:val="center"/>
              <w:rPr>
                <w:rFonts w:hint="eastAsia" w:ascii="仿宋_GB2312" w:hAnsi="仿宋_GB2312" w:eastAsia="仿宋_GB2312" w:cs="仿宋_GB2312"/>
                <w:spacing w:val="0"/>
                <w:kern w:val="2"/>
                <w:sz w:val="28"/>
                <w:szCs w:val="28"/>
                <w:highlight w:val="none"/>
                <w:vertAlign w:val="baseline"/>
                <w:lang w:val="en-US" w:eastAsia="zh-CN" w:bidi="ar-SA"/>
              </w:rPr>
            </w:pPr>
            <w:r>
              <w:rPr>
                <w:rFonts w:hint="eastAsia" w:ascii="仿宋_GB2312" w:hAnsi="仿宋_GB2312" w:eastAsia="仿宋_GB2312" w:cs="仿宋_GB2312"/>
                <w:spacing w:val="0"/>
                <w:kern w:val="2"/>
                <w:sz w:val="28"/>
                <w:szCs w:val="28"/>
                <w:highlight w:val="none"/>
                <w:lang w:val="en-US" w:eastAsia="zh-CN" w:bidi="ar-SA"/>
              </w:rPr>
              <w:t>计算器</w:t>
            </w:r>
          </w:p>
        </w:tc>
        <w:tc>
          <w:tcPr>
            <w:tcW w:w="1750" w:type="dxa"/>
            <w:vAlign w:val="center"/>
          </w:tcPr>
          <w:p w14:paraId="47DE1CE0">
            <w:pPr>
              <w:pStyle w:val="22"/>
              <w:spacing w:line="0" w:lineRule="atLeast"/>
              <w:jc w:val="center"/>
              <w:rPr>
                <w:rFonts w:hint="eastAsia" w:ascii="仿宋_GB2312" w:hAnsi="仿宋_GB2312" w:eastAsia="仿宋_GB2312" w:cs="仿宋_GB2312"/>
                <w:spacing w:val="0"/>
                <w:kern w:val="2"/>
                <w:sz w:val="28"/>
                <w:szCs w:val="28"/>
                <w:highlight w:val="none"/>
                <w:vertAlign w:val="baseline"/>
                <w:lang w:val="en-US" w:eastAsia="zh-CN" w:bidi="ar-SA"/>
              </w:rPr>
            </w:pPr>
            <w:r>
              <w:rPr>
                <w:rFonts w:hint="eastAsia" w:ascii="仿宋_GB2312" w:hAnsi="仿宋_GB2312" w:eastAsia="仿宋_GB2312" w:cs="仿宋_GB2312"/>
                <w:spacing w:val="0"/>
                <w:kern w:val="2"/>
                <w:sz w:val="28"/>
                <w:szCs w:val="28"/>
                <w:highlight w:val="none"/>
                <w:vertAlign w:val="baseline"/>
                <w:lang w:val="en-US" w:eastAsia="zh-CN" w:bidi="ar-SA"/>
              </w:rPr>
              <w:t>1个</w:t>
            </w:r>
          </w:p>
        </w:tc>
        <w:tc>
          <w:tcPr>
            <w:tcW w:w="1485" w:type="dxa"/>
            <w:vAlign w:val="center"/>
          </w:tcPr>
          <w:p w14:paraId="1429C85B">
            <w:pPr>
              <w:pStyle w:val="22"/>
              <w:spacing w:line="0" w:lineRule="atLeast"/>
              <w:jc w:val="center"/>
              <w:rPr>
                <w:rFonts w:hint="eastAsia" w:ascii="仿宋_GB2312" w:hAnsi="仿宋_GB2312" w:eastAsia="仿宋_GB2312" w:cs="仿宋_GB2312"/>
                <w:spacing w:val="0"/>
                <w:kern w:val="2"/>
                <w:sz w:val="28"/>
                <w:szCs w:val="28"/>
                <w:highlight w:val="none"/>
                <w:vertAlign w:val="baseline"/>
                <w:lang w:val="en-US" w:eastAsia="zh-CN" w:bidi="ar-SA"/>
              </w:rPr>
            </w:pPr>
          </w:p>
        </w:tc>
      </w:tr>
    </w:tbl>
    <w:p w14:paraId="0E180DEA">
      <w:pPr>
        <w:pStyle w:val="10"/>
        <w:numPr>
          <w:ilvl w:val="0"/>
          <w:numId w:val="2"/>
        </w:numPr>
        <w:spacing w:after="0" w:line="560" w:lineRule="exact"/>
        <w:ind w:left="0" w:leftChars="0" w:firstLine="680" w:firstLineChars="200"/>
        <w:rPr>
          <w:rFonts w:hint="default" w:ascii="Times New Roman" w:hAnsi="Times New Roman" w:cs="Times New Roman"/>
          <w:color w:val="auto"/>
          <w:lang w:eastAsia="zh-CN"/>
        </w:rPr>
      </w:pPr>
      <w:r>
        <w:rPr>
          <w:rFonts w:hint="default" w:ascii="Times New Roman" w:hAnsi="Times New Roman" w:eastAsia="仿宋_GB2312" w:cs="Times New Roman"/>
          <w:color w:val="auto"/>
        </w:rPr>
        <w:t>决赛</w:t>
      </w:r>
      <w:r>
        <w:rPr>
          <w:rFonts w:hint="default" w:ascii="Times New Roman" w:hAnsi="Times New Roman" w:cs="Times New Roman"/>
          <w:color w:val="auto"/>
          <w:lang w:eastAsia="zh-CN"/>
        </w:rPr>
        <w:t>竞赛设备清单</w:t>
      </w:r>
    </w:p>
    <w:p w14:paraId="24D6DD3C">
      <w:pPr>
        <w:keepNext w:val="0"/>
        <w:keepLines w:val="0"/>
        <w:pageBreakBefore w:val="0"/>
        <w:kinsoku/>
        <w:wordWrap/>
        <w:topLinePunct w:val="0"/>
        <w:bidi w:val="0"/>
        <w:spacing w:line="560" w:lineRule="exact"/>
        <w:ind w:firstLine="680" w:firstLineChars="200"/>
        <w:jc w:val="both"/>
        <w:rPr>
          <w:rFonts w:hint="default" w:ascii="Times New Roman" w:hAnsi="Times New Roman" w:eastAsia="仿宋_GB2312" w:cs="Times New Roman"/>
          <w:color w:val="0D0D0D"/>
          <w:spacing w:val="-6"/>
          <w:kern w:val="2"/>
          <w:sz w:val="32"/>
          <w:szCs w:val="32"/>
          <w:lang w:val="en-US" w:eastAsia="zh-CN" w:bidi="ar-SA"/>
        </w:rPr>
      </w:pPr>
      <w:r>
        <w:rPr>
          <w:rFonts w:hint="default" w:ascii="Times New Roman" w:hAnsi="Times New Roman" w:eastAsia="仿宋_GB2312" w:cs="Times New Roman"/>
          <w:b w:val="0"/>
          <w:bCs w:val="0"/>
          <w:color w:val="0D0D0D"/>
          <w:spacing w:val="-6"/>
          <w:kern w:val="2"/>
          <w:sz w:val="32"/>
          <w:szCs w:val="32"/>
          <w:lang w:val="en-US" w:eastAsia="zh-CN" w:bidi="ar-SA"/>
        </w:rPr>
        <w:t>（1）执委会提供物资</w:t>
      </w:r>
    </w:p>
    <w:tbl>
      <w:tblPr>
        <w:tblStyle w:val="12"/>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6"/>
        <w:gridCol w:w="3950"/>
        <w:gridCol w:w="1787"/>
        <w:gridCol w:w="1526"/>
      </w:tblGrid>
      <w:tr w14:paraId="7C4E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556" w:type="dxa"/>
            <w:vAlign w:val="top"/>
          </w:tcPr>
          <w:p w14:paraId="08CB6B74">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序号</w:t>
            </w:r>
          </w:p>
        </w:tc>
        <w:tc>
          <w:tcPr>
            <w:tcW w:w="3950" w:type="dxa"/>
            <w:vAlign w:val="top"/>
          </w:tcPr>
          <w:p w14:paraId="572930D2">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color w:val="0D0D0D"/>
                <w:spacing w:val="-6"/>
                <w:kern w:val="2"/>
                <w:sz w:val="28"/>
                <w:szCs w:val="28"/>
                <w:lang w:val="en-US" w:eastAsia="zh-CN" w:bidi="ar-SA"/>
              </w:rPr>
              <w:t>执委会提供物资</w:t>
            </w:r>
          </w:p>
        </w:tc>
        <w:tc>
          <w:tcPr>
            <w:tcW w:w="1787" w:type="dxa"/>
            <w:vAlign w:val="top"/>
          </w:tcPr>
          <w:p w14:paraId="573A6952">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数量</w:t>
            </w:r>
          </w:p>
        </w:tc>
        <w:tc>
          <w:tcPr>
            <w:tcW w:w="1526" w:type="dxa"/>
            <w:vAlign w:val="top"/>
          </w:tcPr>
          <w:p w14:paraId="1105D15C">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备注</w:t>
            </w:r>
          </w:p>
        </w:tc>
      </w:tr>
      <w:tr w14:paraId="75AF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556" w:type="dxa"/>
            <w:vAlign w:val="top"/>
          </w:tcPr>
          <w:p w14:paraId="1744AE0B">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r>
              <w:rPr>
                <w:rFonts w:hint="eastAsia" w:ascii="仿宋_GB2312" w:hAnsi="仿宋_GB2312" w:eastAsia="仿宋_GB2312" w:cs="仿宋_GB2312"/>
                <w:spacing w:val="0"/>
                <w:sz w:val="28"/>
                <w:szCs w:val="28"/>
                <w:highlight w:val="none"/>
                <w:vertAlign w:val="baseline"/>
                <w:lang w:val="en-US" w:eastAsia="zh-CN"/>
              </w:rPr>
              <w:t>1</w:t>
            </w:r>
          </w:p>
        </w:tc>
        <w:tc>
          <w:tcPr>
            <w:tcW w:w="3950" w:type="dxa"/>
            <w:vAlign w:val="top"/>
          </w:tcPr>
          <w:p w14:paraId="7733E942">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D0D0D"/>
                <w:spacing w:val="-6"/>
                <w:kern w:val="2"/>
                <w:sz w:val="28"/>
                <w:szCs w:val="28"/>
                <w:lang w:val="en-US" w:eastAsia="zh-CN" w:bidi="ar-SA"/>
              </w:rPr>
              <w:t>实验场地</w:t>
            </w:r>
          </w:p>
        </w:tc>
        <w:tc>
          <w:tcPr>
            <w:tcW w:w="1787" w:type="dxa"/>
            <w:vAlign w:val="top"/>
          </w:tcPr>
          <w:p w14:paraId="41BD9F45">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sz w:val="28"/>
                <w:szCs w:val="28"/>
                <w:vertAlign w:val="baseline"/>
                <w:lang w:val="en-US" w:eastAsia="zh-CN"/>
              </w:rPr>
            </w:pPr>
          </w:p>
        </w:tc>
        <w:tc>
          <w:tcPr>
            <w:tcW w:w="1526" w:type="dxa"/>
            <w:vAlign w:val="top"/>
          </w:tcPr>
          <w:p w14:paraId="06018EA8">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仿宋_GB2312" w:hAnsi="仿宋_GB2312" w:eastAsia="仿宋_GB2312" w:cs="仿宋_GB2312"/>
                <w:sz w:val="28"/>
                <w:szCs w:val="28"/>
                <w:vertAlign w:val="baseline"/>
                <w:lang w:val="en-US" w:eastAsia="zh-CN"/>
              </w:rPr>
            </w:pPr>
          </w:p>
        </w:tc>
      </w:tr>
      <w:tr w14:paraId="43C25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556" w:type="dxa"/>
            <w:vAlign w:val="top"/>
          </w:tcPr>
          <w:p w14:paraId="5735F8AC">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r>
              <w:rPr>
                <w:rFonts w:hint="eastAsia" w:ascii="仿宋_GB2312" w:hAnsi="仿宋_GB2312" w:eastAsia="仿宋_GB2312" w:cs="仿宋_GB2312"/>
                <w:spacing w:val="0"/>
                <w:sz w:val="28"/>
                <w:szCs w:val="28"/>
                <w:highlight w:val="none"/>
                <w:vertAlign w:val="baseline"/>
                <w:lang w:val="en-US" w:eastAsia="zh-CN"/>
              </w:rPr>
              <w:t>2</w:t>
            </w:r>
          </w:p>
        </w:tc>
        <w:tc>
          <w:tcPr>
            <w:tcW w:w="3950" w:type="dxa"/>
            <w:vAlign w:val="top"/>
          </w:tcPr>
          <w:p w14:paraId="391A743C">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D0D0D"/>
                <w:spacing w:val="-6"/>
                <w:kern w:val="2"/>
                <w:sz w:val="28"/>
                <w:szCs w:val="28"/>
                <w:lang w:val="en-US" w:eastAsia="zh-CN" w:bidi="ar-SA"/>
              </w:rPr>
              <w:t>洗涤用水</w:t>
            </w:r>
          </w:p>
        </w:tc>
        <w:tc>
          <w:tcPr>
            <w:tcW w:w="1787" w:type="dxa"/>
            <w:vAlign w:val="top"/>
          </w:tcPr>
          <w:p w14:paraId="3CC9826E">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sz w:val="28"/>
                <w:szCs w:val="28"/>
                <w:vertAlign w:val="baseline"/>
                <w:lang w:val="en-US" w:eastAsia="zh-CN"/>
              </w:rPr>
            </w:pPr>
          </w:p>
        </w:tc>
        <w:tc>
          <w:tcPr>
            <w:tcW w:w="1526" w:type="dxa"/>
            <w:vAlign w:val="top"/>
          </w:tcPr>
          <w:p w14:paraId="6AD40E58">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仿宋_GB2312" w:hAnsi="仿宋_GB2312" w:eastAsia="仿宋_GB2312" w:cs="仿宋_GB2312"/>
                <w:sz w:val="28"/>
                <w:szCs w:val="28"/>
                <w:vertAlign w:val="baseline"/>
                <w:lang w:val="en-US" w:eastAsia="zh-CN"/>
              </w:rPr>
            </w:pPr>
          </w:p>
        </w:tc>
      </w:tr>
      <w:tr w14:paraId="7124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556" w:type="dxa"/>
            <w:vAlign w:val="top"/>
          </w:tcPr>
          <w:p w14:paraId="72A4EECC">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r>
              <w:rPr>
                <w:rFonts w:hint="eastAsia" w:ascii="仿宋_GB2312" w:hAnsi="仿宋_GB2312" w:eastAsia="仿宋_GB2312" w:cs="仿宋_GB2312"/>
                <w:spacing w:val="0"/>
                <w:sz w:val="28"/>
                <w:szCs w:val="28"/>
                <w:highlight w:val="none"/>
                <w:vertAlign w:val="baseline"/>
                <w:lang w:val="en-US" w:eastAsia="zh-CN"/>
              </w:rPr>
              <w:t>3</w:t>
            </w:r>
          </w:p>
        </w:tc>
        <w:tc>
          <w:tcPr>
            <w:tcW w:w="3950" w:type="dxa"/>
            <w:vAlign w:val="top"/>
          </w:tcPr>
          <w:p w14:paraId="01731B7C">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default" w:ascii="仿宋_GB2312" w:hAnsi="仿宋_GB2312" w:eastAsia="仿宋_GB2312" w:cs="仿宋_GB2312"/>
                <w:color w:val="0D0D0D"/>
                <w:spacing w:val="-6"/>
                <w:kern w:val="2"/>
                <w:sz w:val="28"/>
                <w:szCs w:val="28"/>
                <w:highlight w:val="none"/>
                <w:lang w:val="en-US" w:eastAsia="zh-CN" w:bidi="ar-SA"/>
              </w:rPr>
            </w:pPr>
            <w:r>
              <w:rPr>
                <w:rFonts w:hint="eastAsia" w:ascii="仿宋_GB2312" w:hAnsi="仿宋_GB2312" w:eastAsia="仿宋_GB2312" w:cs="仿宋_GB2312"/>
                <w:color w:val="0D0D0D"/>
                <w:spacing w:val="-6"/>
                <w:kern w:val="2"/>
                <w:sz w:val="28"/>
                <w:szCs w:val="28"/>
                <w:highlight w:val="none"/>
                <w:lang w:val="en-US" w:eastAsia="zh-CN" w:bidi="ar-SA"/>
              </w:rPr>
              <w:t>实验所用蒸馏水</w:t>
            </w:r>
          </w:p>
        </w:tc>
        <w:tc>
          <w:tcPr>
            <w:tcW w:w="1787" w:type="dxa"/>
            <w:vAlign w:val="top"/>
          </w:tcPr>
          <w:p w14:paraId="18B8F7B1">
            <w:pPr>
              <w:pStyle w:val="22"/>
              <w:keepNext w:val="0"/>
              <w:keepLines w:val="0"/>
              <w:pageBreakBefore w:val="0"/>
              <w:widowControl w:val="0"/>
              <w:kinsoku/>
              <w:wordWrap/>
              <w:overflowPunct/>
              <w:topLinePunct w:val="0"/>
              <w:autoSpaceDE/>
              <w:autoSpaceDN/>
              <w:bidi w:val="0"/>
              <w:adjustRightInd/>
              <w:snapToGrid/>
              <w:spacing w:line="0" w:lineRule="atLeast"/>
              <w:ind w:firstLine="300" w:firstLineChars="100"/>
              <w:jc w:val="center"/>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1桶</w:t>
            </w:r>
          </w:p>
        </w:tc>
        <w:tc>
          <w:tcPr>
            <w:tcW w:w="1526" w:type="dxa"/>
            <w:shd w:val="clear" w:color="auto" w:fill="auto"/>
            <w:vAlign w:val="top"/>
          </w:tcPr>
          <w:p w14:paraId="403DEF6E">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仿宋_GB2312" w:hAnsi="仿宋_GB2312" w:eastAsia="仿宋_GB2312" w:cs="仿宋_GB2312"/>
                <w:spacing w:val="-6"/>
                <w:kern w:val="2"/>
                <w:sz w:val="28"/>
                <w:szCs w:val="28"/>
                <w:highlight w:val="none"/>
                <w:vertAlign w:val="baseline"/>
                <w:lang w:val="en-US" w:eastAsia="zh-CN" w:bidi="ar-SA"/>
              </w:rPr>
            </w:pPr>
            <w:r>
              <w:rPr>
                <w:rFonts w:hint="eastAsia" w:ascii="仿宋_GB2312" w:hAnsi="仿宋_GB2312" w:eastAsia="仿宋_GB2312" w:cs="仿宋_GB2312"/>
                <w:color w:val="0D0D0D"/>
                <w:spacing w:val="-6"/>
                <w:kern w:val="2"/>
                <w:sz w:val="28"/>
                <w:szCs w:val="28"/>
                <w:highlight w:val="none"/>
                <w:lang w:val="en-US" w:eastAsia="zh-CN" w:bidi="ar-SA"/>
              </w:rPr>
              <w:t>4.5L</w:t>
            </w:r>
            <w:r>
              <w:rPr>
                <w:rFonts w:hint="eastAsia" w:ascii="仿宋_GB2312" w:hAnsi="仿宋_GB2312" w:eastAsia="仿宋_GB2312" w:cs="仿宋_GB2312"/>
                <w:sz w:val="28"/>
                <w:szCs w:val="28"/>
                <w:highlight w:val="none"/>
                <w:vertAlign w:val="baseline"/>
                <w:lang w:val="en-US" w:eastAsia="zh-CN"/>
              </w:rPr>
              <w:t>屈臣氏蒸馏水</w:t>
            </w:r>
          </w:p>
        </w:tc>
      </w:tr>
      <w:tr w14:paraId="6ED6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556" w:type="dxa"/>
            <w:vAlign w:val="top"/>
          </w:tcPr>
          <w:p w14:paraId="6D136348">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r>
              <w:rPr>
                <w:rFonts w:hint="eastAsia" w:ascii="仿宋_GB2312" w:hAnsi="仿宋_GB2312" w:eastAsia="仿宋_GB2312" w:cs="仿宋_GB2312"/>
                <w:spacing w:val="0"/>
                <w:sz w:val="28"/>
                <w:szCs w:val="28"/>
                <w:highlight w:val="none"/>
                <w:vertAlign w:val="baseline"/>
                <w:lang w:val="en-US" w:eastAsia="zh-CN"/>
              </w:rPr>
              <w:t>4</w:t>
            </w:r>
          </w:p>
        </w:tc>
        <w:tc>
          <w:tcPr>
            <w:tcW w:w="3950" w:type="dxa"/>
            <w:vAlign w:val="top"/>
          </w:tcPr>
          <w:p w14:paraId="0B2A53ED">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D0D0D"/>
                <w:spacing w:val="-6"/>
                <w:kern w:val="2"/>
                <w:sz w:val="28"/>
                <w:szCs w:val="28"/>
                <w:highlight w:val="none"/>
                <w:lang w:val="en-US" w:eastAsia="zh-CN" w:bidi="ar-SA"/>
              </w:rPr>
              <w:t>1+3硫酸溶液</w:t>
            </w:r>
          </w:p>
        </w:tc>
        <w:tc>
          <w:tcPr>
            <w:tcW w:w="1787" w:type="dxa"/>
            <w:vAlign w:val="top"/>
          </w:tcPr>
          <w:p w14:paraId="37434599">
            <w:pPr>
              <w:pStyle w:val="22"/>
              <w:keepNext w:val="0"/>
              <w:keepLines w:val="0"/>
              <w:pageBreakBefore w:val="0"/>
              <w:widowControl w:val="0"/>
              <w:kinsoku/>
              <w:wordWrap/>
              <w:overflowPunct/>
              <w:topLinePunct w:val="0"/>
              <w:autoSpaceDE/>
              <w:autoSpaceDN/>
              <w:bidi w:val="0"/>
              <w:adjustRightInd/>
              <w:snapToGrid/>
              <w:spacing w:line="0" w:lineRule="atLeast"/>
              <w:ind w:firstLine="300" w:firstLineChars="10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50ML</w:t>
            </w:r>
          </w:p>
        </w:tc>
        <w:tc>
          <w:tcPr>
            <w:tcW w:w="1526" w:type="dxa"/>
            <w:shd w:val="clear" w:color="auto" w:fill="auto"/>
            <w:vAlign w:val="top"/>
          </w:tcPr>
          <w:p w14:paraId="5DE67084">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仿宋_GB2312" w:hAnsi="仿宋_GB2312" w:eastAsia="仿宋_GB2312" w:cs="仿宋_GB2312"/>
                <w:spacing w:val="-6"/>
                <w:kern w:val="2"/>
                <w:sz w:val="28"/>
                <w:szCs w:val="28"/>
                <w:vertAlign w:val="baseline"/>
                <w:lang w:val="en-US" w:eastAsia="zh-CN" w:bidi="ar-SA"/>
              </w:rPr>
            </w:pPr>
          </w:p>
        </w:tc>
      </w:tr>
      <w:tr w14:paraId="51F4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556" w:type="dxa"/>
            <w:vAlign w:val="top"/>
          </w:tcPr>
          <w:p w14:paraId="666999E8">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spacing w:val="0"/>
                <w:sz w:val="28"/>
                <w:szCs w:val="28"/>
                <w:highlight w:val="none"/>
                <w:vertAlign w:val="baseline"/>
                <w:lang w:val="en-US" w:eastAsia="zh-CN"/>
              </w:rPr>
            </w:pPr>
            <w:r>
              <w:rPr>
                <w:rFonts w:hint="eastAsia" w:ascii="仿宋_GB2312" w:hAnsi="仿宋_GB2312" w:eastAsia="仿宋_GB2312" w:cs="仿宋_GB2312"/>
                <w:spacing w:val="0"/>
                <w:sz w:val="28"/>
                <w:szCs w:val="28"/>
                <w:highlight w:val="none"/>
                <w:vertAlign w:val="baseline"/>
                <w:lang w:val="en-US" w:eastAsia="zh-CN"/>
              </w:rPr>
              <w:t>5</w:t>
            </w:r>
          </w:p>
        </w:tc>
        <w:tc>
          <w:tcPr>
            <w:tcW w:w="3950" w:type="dxa"/>
            <w:vAlign w:val="top"/>
          </w:tcPr>
          <w:p w14:paraId="1DB1DCBC">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0D0D0D"/>
                <w:spacing w:val="-6"/>
                <w:kern w:val="2"/>
                <w:sz w:val="28"/>
                <w:szCs w:val="28"/>
                <w:lang w:val="en-US" w:eastAsia="zh-CN" w:bidi="ar-SA"/>
              </w:rPr>
              <w:t>考核盲样</w:t>
            </w:r>
          </w:p>
        </w:tc>
        <w:tc>
          <w:tcPr>
            <w:tcW w:w="1787" w:type="dxa"/>
            <w:vAlign w:val="top"/>
          </w:tcPr>
          <w:p w14:paraId="52952E04">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1支</w:t>
            </w:r>
          </w:p>
        </w:tc>
        <w:tc>
          <w:tcPr>
            <w:tcW w:w="1526" w:type="dxa"/>
            <w:vAlign w:val="top"/>
          </w:tcPr>
          <w:p w14:paraId="5DF3BAC8">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仿宋_GB2312" w:hAnsi="仿宋_GB2312" w:eastAsia="仿宋_GB2312" w:cs="仿宋_GB2312"/>
                <w:sz w:val="28"/>
                <w:szCs w:val="28"/>
                <w:vertAlign w:val="baseline"/>
                <w:lang w:val="en-US" w:eastAsia="zh-CN"/>
              </w:rPr>
            </w:pPr>
          </w:p>
        </w:tc>
      </w:tr>
    </w:tbl>
    <w:p w14:paraId="4B1DE98F">
      <w:pPr>
        <w:keepNext w:val="0"/>
        <w:keepLines w:val="0"/>
        <w:pageBreakBefore w:val="0"/>
        <w:kinsoku/>
        <w:wordWrap/>
        <w:topLinePunct w:val="0"/>
        <w:bidi w:val="0"/>
        <w:spacing w:line="560" w:lineRule="exact"/>
        <w:ind w:firstLine="680" w:firstLineChars="200"/>
        <w:jc w:val="both"/>
        <w:rPr>
          <w:rFonts w:hint="default" w:ascii="Times New Roman" w:hAnsi="Times New Roman" w:eastAsia="仿宋_GB2312" w:cs="Times New Roman"/>
          <w:b w:val="0"/>
          <w:bCs w:val="0"/>
          <w:color w:val="0D0D0D"/>
          <w:spacing w:val="-6"/>
          <w:kern w:val="2"/>
          <w:sz w:val="32"/>
          <w:szCs w:val="32"/>
          <w:lang w:val="en-US" w:eastAsia="zh-CN" w:bidi="ar-SA"/>
        </w:rPr>
      </w:pPr>
      <w:r>
        <w:rPr>
          <w:rFonts w:hint="default" w:ascii="Times New Roman" w:hAnsi="Times New Roman" w:eastAsia="仿宋_GB2312" w:cs="Times New Roman"/>
          <w:b w:val="0"/>
          <w:bCs w:val="0"/>
          <w:color w:val="0D0D0D"/>
          <w:spacing w:val="-6"/>
          <w:kern w:val="2"/>
          <w:sz w:val="32"/>
          <w:szCs w:val="32"/>
          <w:lang w:val="en-US" w:eastAsia="zh-CN" w:bidi="ar-SA"/>
        </w:rPr>
        <w:t>（2）自带物资</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8"/>
        <w:gridCol w:w="3950"/>
        <w:gridCol w:w="3355"/>
      </w:tblGrid>
      <w:tr w14:paraId="1CF3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638" w:type="dxa"/>
            <w:vAlign w:val="center"/>
          </w:tcPr>
          <w:p w14:paraId="56085CCF">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bCs/>
                <w:spacing w:val="-6"/>
                <w:kern w:val="2"/>
                <w:sz w:val="28"/>
                <w:szCs w:val="28"/>
                <w:vertAlign w:val="baseline"/>
                <w:lang w:val="en-US" w:eastAsia="zh-CN" w:bidi="ar-SA"/>
              </w:rPr>
            </w:pPr>
            <w:r>
              <w:rPr>
                <w:rFonts w:hint="eastAsia" w:ascii="仿宋_GB2312" w:hAnsi="仿宋_GB2312" w:eastAsia="仿宋_GB2312" w:cs="仿宋_GB2312"/>
                <w:b/>
                <w:bCs/>
                <w:spacing w:val="-6"/>
                <w:kern w:val="2"/>
                <w:sz w:val="28"/>
                <w:szCs w:val="28"/>
                <w:vertAlign w:val="baseline"/>
                <w:lang w:val="en-US" w:eastAsia="zh-CN" w:bidi="ar-SA"/>
              </w:rPr>
              <w:t>序号</w:t>
            </w:r>
          </w:p>
        </w:tc>
        <w:tc>
          <w:tcPr>
            <w:tcW w:w="3950" w:type="dxa"/>
            <w:vAlign w:val="center"/>
          </w:tcPr>
          <w:p w14:paraId="7B52499C">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bCs/>
                <w:spacing w:val="-6"/>
                <w:kern w:val="2"/>
                <w:sz w:val="28"/>
                <w:szCs w:val="28"/>
                <w:vertAlign w:val="baseline"/>
                <w:lang w:val="en-US" w:eastAsia="zh-CN" w:bidi="ar-SA"/>
              </w:rPr>
            </w:pPr>
            <w:r>
              <w:rPr>
                <w:rFonts w:hint="eastAsia" w:ascii="仿宋_GB2312" w:hAnsi="仿宋_GB2312" w:eastAsia="仿宋_GB2312" w:cs="仿宋_GB2312"/>
                <w:b/>
                <w:bCs/>
                <w:spacing w:val="-6"/>
                <w:kern w:val="2"/>
                <w:sz w:val="28"/>
                <w:szCs w:val="28"/>
                <w:vertAlign w:val="baseline"/>
                <w:lang w:val="en-US" w:eastAsia="zh-CN" w:bidi="ar-SA"/>
              </w:rPr>
              <w:t>自带物资</w:t>
            </w:r>
          </w:p>
        </w:tc>
        <w:tc>
          <w:tcPr>
            <w:tcW w:w="3355" w:type="dxa"/>
            <w:vAlign w:val="center"/>
          </w:tcPr>
          <w:p w14:paraId="077D1AA2">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bCs/>
                <w:spacing w:val="-6"/>
                <w:kern w:val="2"/>
                <w:sz w:val="28"/>
                <w:szCs w:val="28"/>
                <w:vertAlign w:val="baseline"/>
                <w:lang w:val="en-US" w:eastAsia="zh-CN" w:bidi="ar-SA"/>
              </w:rPr>
            </w:pPr>
            <w:r>
              <w:rPr>
                <w:rFonts w:hint="eastAsia" w:ascii="仿宋_GB2312" w:hAnsi="仿宋_GB2312" w:eastAsia="仿宋_GB2312" w:cs="仿宋_GB2312"/>
                <w:b/>
                <w:bCs/>
                <w:spacing w:val="-6"/>
                <w:kern w:val="2"/>
                <w:sz w:val="28"/>
                <w:szCs w:val="28"/>
                <w:vertAlign w:val="baseline"/>
                <w:lang w:val="en-US" w:eastAsia="zh-CN" w:bidi="ar-SA"/>
              </w:rPr>
              <w:t>备注</w:t>
            </w:r>
          </w:p>
        </w:tc>
      </w:tr>
      <w:tr w14:paraId="6EB9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638" w:type="dxa"/>
            <w:vAlign w:val="center"/>
          </w:tcPr>
          <w:p w14:paraId="7CE9E433">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仿宋_GB2312" w:hAnsi="仿宋_GB2312" w:eastAsia="仿宋_GB2312" w:cs="仿宋_GB2312"/>
                <w:b/>
                <w:bCs/>
                <w:spacing w:val="-6"/>
                <w:kern w:val="2"/>
                <w:sz w:val="28"/>
                <w:szCs w:val="28"/>
                <w:vertAlign w:val="baseline"/>
                <w:lang w:val="en-US" w:eastAsia="zh-CN" w:bidi="ar-SA"/>
              </w:rPr>
            </w:pPr>
            <w:r>
              <w:rPr>
                <w:rFonts w:hint="eastAsia" w:ascii="仿宋_GB2312" w:hAnsi="仿宋_GB2312" w:eastAsia="仿宋_GB2312" w:cs="仿宋_GB2312"/>
                <w:b/>
                <w:bCs/>
                <w:spacing w:val="-6"/>
                <w:kern w:val="2"/>
                <w:sz w:val="28"/>
                <w:szCs w:val="28"/>
                <w:vertAlign w:val="baseline"/>
                <w:lang w:val="en-US" w:eastAsia="zh-CN" w:bidi="ar-SA"/>
              </w:rPr>
              <w:t>1</w:t>
            </w:r>
          </w:p>
        </w:tc>
        <w:tc>
          <w:tcPr>
            <w:tcW w:w="3950" w:type="dxa"/>
            <w:vAlign w:val="center"/>
          </w:tcPr>
          <w:p w14:paraId="38D30051">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仿宋_GB2312" w:hAnsi="仿宋_GB2312" w:eastAsia="仿宋_GB2312" w:cs="仿宋_GB2312"/>
                <w:b w:val="0"/>
                <w:bCs w:val="0"/>
                <w:spacing w:val="-6"/>
                <w:kern w:val="2"/>
                <w:sz w:val="28"/>
                <w:szCs w:val="28"/>
                <w:vertAlign w:val="baseline"/>
                <w:lang w:val="en-US" w:eastAsia="zh-CN" w:bidi="ar-SA"/>
              </w:rPr>
            </w:pPr>
            <w:r>
              <w:rPr>
                <w:rFonts w:hint="eastAsia" w:ascii="仿宋_GB2312" w:hAnsi="仿宋_GB2312" w:eastAsia="仿宋_GB2312" w:cs="仿宋_GB2312"/>
                <w:b w:val="0"/>
                <w:bCs w:val="0"/>
                <w:spacing w:val="-6"/>
                <w:kern w:val="2"/>
                <w:sz w:val="28"/>
                <w:szCs w:val="28"/>
                <w:vertAlign w:val="baseline"/>
                <w:lang w:val="en-US" w:eastAsia="zh-CN" w:bidi="ar-SA"/>
              </w:rPr>
              <w:t>水浴锅1台</w:t>
            </w:r>
          </w:p>
          <w:p w14:paraId="54CE6DA8">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default" w:ascii="仿宋_GB2312" w:hAnsi="仿宋_GB2312" w:eastAsia="仿宋_GB2312" w:cs="仿宋_GB2312"/>
                <w:b w:val="0"/>
                <w:bCs w:val="0"/>
                <w:spacing w:val="-6"/>
                <w:kern w:val="2"/>
                <w:sz w:val="28"/>
                <w:szCs w:val="28"/>
                <w:vertAlign w:val="baseline"/>
                <w:lang w:val="en-US" w:eastAsia="zh-CN" w:bidi="ar-SA"/>
              </w:rPr>
            </w:pPr>
          </w:p>
        </w:tc>
        <w:tc>
          <w:tcPr>
            <w:tcW w:w="3355" w:type="dxa"/>
            <w:vAlign w:val="center"/>
          </w:tcPr>
          <w:p w14:paraId="1393EFE9">
            <w:pPr>
              <w:pStyle w:val="22"/>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default" w:ascii="仿宋_GB2312" w:hAnsi="仿宋_GB2312" w:eastAsia="仿宋_GB2312" w:cs="仿宋_GB2312"/>
                <w:b/>
                <w:bCs/>
                <w:spacing w:val="-6"/>
                <w:kern w:val="2"/>
                <w:sz w:val="28"/>
                <w:szCs w:val="28"/>
                <w:vertAlign w:val="baseline"/>
                <w:lang w:val="en-US" w:eastAsia="zh-CN" w:bidi="ar-SA"/>
              </w:rPr>
            </w:pPr>
            <w:r>
              <w:rPr>
                <w:rFonts w:hint="eastAsia" w:ascii="仿宋_GB2312" w:hAnsi="仿宋_GB2312" w:eastAsia="仿宋_GB2312" w:cs="仿宋_GB2312"/>
                <w:b w:val="0"/>
                <w:bCs w:val="0"/>
                <w:color w:val="auto"/>
                <w:spacing w:val="-6"/>
                <w:kern w:val="2"/>
                <w:sz w:val="28"/>
                <w:szCs w:val="28"/>
                <w:vertAlign w:val="baseline"/>
                <w:lang w:val="en-US" w:eastAsia="zh-CN" w:bidi="ar-SA"/>
              </w:rPr>
              <w:t>六口，功率1500W,检定/校准在有效期内。</w:t>
            </w:r>
          </w:p>
        </w:tc>
      </w:tr>
      <w:tr w14:paraId="0B91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8" w:type="dxa"/>
            <w:vAlign w:val="center"/>
          </w:tcPr>
          <w:p w14:paraId="23E3697C">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spacing w:val="0"/>
                <w:kern w:val="2"/>
                <w:sz w:val="28"/>
                <w:szCs w:val="28"/>
                <w:highlight w:val="none"/>
                <w:vertAlign w:val="baseline"/>
                <w:lang w:val="en-US" w:eastAsia="zh-CN" w:bidi="ar-SA"/>
              </w:rPr>
            </w:pPr>
            <w:r>
              <w:rPr>
                <w:rFonts w:hint="eastAsia" w:ascii="仿宋_GB2312" w:hAnsi="仿宋_GB2312" w:eastAsia="仿宋_GB2312" w:cs="仿宋_GB2312"/>
                <w:spacing w:val="0"/>
                <w:kern w:val="2"/>
                <w:sz w:val="28"/>
                <w:szCs w:val="28"/>
                <w:highlight w:val="none"/>
                <w:vertAlign w:val="baseline"/>
                <w:lang w:val="en-US" w:eastAsia="zh-CN" w:bidi="ar-SA"/>
              </w:rPr>
              <w:t>2</w:t>
            </w:r>
          </w:p>
        </w:tc>
        <w:tc>
          <w:tcPr>
            <w:tcW w:w="3950" w:type="dxa"/>
            <w:vAlign w:val="center"/>
          </w:tcPr>
          <w:p w14:paraId="469A5CDC">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0D0D0D"/>
                <w:spacing w:val="-6"/>
                <w:kern w:val="2"/>
                <w:sz w:val="28"/>
                <w:szCs w:val="28"/>
                <w:vertAlign w:val="baseline"/>
                <w:lang w:val="en-US" w:eastAsia="zh-CN" w:bidi="ar-SA"/>
              </w:rPr>
            </w:pPr>
            <w:r>
              <w:rPr>
                <w:rFonts w:hint="eastAsia" w:ascii="仿宋_GB2312" w:hAnsi="仿宋_GB2312" w:eastAsia="仿宋_GB2312" w:cs="仿宋_GB2312"/>
                <w:color w:val="0D0D0D"/>
                <w:spacing w:val="-6"/>
                <w:kern w:val="2"/>
                <w:sz w:val="28"/>
                <w:szCs w:val="28"/>
                <w:lang w:val="en-US" w:eastAsia="zh-CN" w:bidi="ar-SA"/>
              </w:rPr>
              <w:t>器皿量器（含滴定管）</w:t>
            </w:r>
          </w:p>
        </w:tc>
        <w:tc>
          <w:tcPr>
            <w:tcW w:w="3355" w:type="dxa"/>
            <w:vAlign w:val="center"/>
          </w:tcPr>
          <w:p w14:paraId="111971F1">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0D0D0D"/>
                <w:spacing w:val="-6"/>
                <w:kern w:val="2"/>
                <w:sz w:val="28"/>
                <w:szCs w:val="28"/>
                <w:vertAlign w:val="baseline"/>
                <w:lang w:val="en-US" w:eastAsia="zh-CN" w:bidi="ar-SA"/>
              </w:rPr>
            </w:pPr>
          </w:p>
        </w:tc>
      </w:tr>
      <w:tr w14:paraId="0935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8" w:type="dxa"/>
            <w:vAlign w:val="center"/>
          </w:tcPr>
          <w:p w14:paraId="328BC902">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spacing w:val="0"/>
                <w:kern w:val="2"/>
                <w:sz w:val="28"/>
                <w:szCs w:val="28"/>
                <w:highlight w:val="none"/>
                <w:vertAlign w:val="baseline"/>
                <w:lang w:val="en-US" w:eastAsia="zh-CN" w:bidi="ar-SA"/>
              </w:rPr>
            </w:pPr>
            <w:r>
              <w:rPr>
                <w:rFonts w:hint="eastAsia" w:ascii="仿宋_GB2312" w:hAnsi="仿宋_GB2312" w:eastAsia="仿宋_GB2312" w:cs="仿宋_GB2312"/>
                <w:spacing w:val="0"/>
                <w:kern w:val="2"/>
                <w:sz w:val="28"/>
                <w:szCs w:val="28"/>
                <w:highlight w:val="none"/>
                <w:vertAlign w:val="baseline"/>
                <w:lang w:val="en-US" w:eastAsia="zh-CN" w:bidi="ar-SA"/>
              </w:rPr>
              <w:t>3</w:t>
            </w:r>
          </w:p>
        </w:tc>
        <w:tc>
          <w:tcPr>
            <w:tcW w:w="3950" w:type="dxa"/>
            <w:vAlign w:val="center"/>
          </w:tcPr>
          <w:p w14:paraId="3604CFDF">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0D0D0D"/>
                <w:spacing w:val="-6"/>
                <w:kern w:val="2"/>
                <w:sz w:val="28"/>
                <w:szCs w:val="28"/>
                <w:vertAlign w:val="baseline"/>
                <w:lang w:val="en-US" w:eastAsia="zh-CN" w:bidi="ar-SA"/>
              </w:rPr>
            </w:pPr>
            <w:r>
              <w:rPr>
                <w:rFonts w:hint="eastAsia" w:ascii="仿宋_GB2312" w:hAnsi="仿宋_GB2312" w:eastAsia="仿宋_GB2312" w:cs="仿宋_GB2312"/>
                <w:color w:val="0D0D0D"/>
                <w:spacing w:val="-6"/>
                <w:kern w:val="2"/>
                <w:sz w:val="28"/>
                <w:szCs w:val="28"/>
                <w:lang w:val="en-US" w:eastAsia="zh-CN" w:bidi="ar-SA"/>
              </w:rPr>
              <w:t>试剂材料</w:t>
            </w:r>
          </w:p>
        </w:tc>
        <w:tc>
          <w:tcPr>
            <w:tcW w:w="3355" w:type="dxa"/>
            <w:vAlign w:val="center"/>
          </w:tcPr>
          <w:p w14:paraId="5EFC5039">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0D0D0D"/>
                <w:spacing w:val="-6"/>
                <w:kern w:val="2"/>
                <w:sz w:val="28"/>
                <w:szCs w:val="28"/>
                <w:vertAlign w:val="baseline"/>
                <w:lang w:val="en-US" w:eastAsia="zh-CN" w:bidi="ar-SA"/>
              </w:rPr>
            </w:pPr>
          </w:p>
        </w:tc>
      </w:tr>
      <w:tr w14:paraId="4FEE3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8" w:type="dxa"/>
            <w:vAlign w:val="center"/>
          </w:tcPr>
          <w:p w14:paraId="453621D4">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spacing w:val="0"/>
                <w:kern w:val="2"/>
                <w:sz w:val="28"/>
                <w:szCs w:val="28"/>
                <w:highlight w:val="none"/>
                <w:vertAlign w:val="baseline"/>
                <w:lang w:val="en-US" w:eastAsia="zh-CN" w:bidi="ar-SA"/>
              </w:rPr>
            </w:pPr>
            <w:r>
              <w:rPr>
                <w:rFonts w:hint="eastAsia" w:ascii="仿宋_GB2312" w:hAnsi="仿宋_GB2312" w:eastAsia="仿宋_GB2312" w:cs="仿宋_GB2312"/>
                <w:spacing w:val="0"/>
                <w:kern w:val="2"/>
                <w:sz w:val="28"/>
                <w:szCs w:val="28"/>
                <w:highlight w:val="none"/>
                <w:vertAlign w:val="baseline"/>
                <w:lang w:val="en-US" w:eastAsia="zh-CN" w:bidi="ar-SA"/>
              </w:rPr>
              <w:t>4</w:t>
            </w:r>
          </w:p>
        </w:tc>
        <w:tc>
          <w:tcPr>
            <w:tcW w:w="3950" w:type="dxa"/>
            <w:vAlign w:val="center"/>
          </w:tcPr>
          <w:p w14:paraId="0084A120">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0D0D0D"/>
                <w:spacing w:val="-6"/>
                <w:kern w:val="2"/>
                <w:sz w:val="28"/>
                <w:szCs w:val="28"/>
                <w:vertAlign w:val="baseline"/>
                <w:lang w:val="en-US" w:eastAsia="zh-CN" w:bidi="ar-SA"/>
              </w:rPr>
            </w:pPr>
            <w:r>
              <w:rPr>
                <w:rFonts w:hint="eastAsia" w:ascii="仿宋_GB2312" w:hAnsi="仿宋_GB2312" w:eastAsia="仿宋_GB2312" w:cs="仿宋_GB2312"/>
                <w:color w:val="0D0D0D"/>
                <w:spacing w:val="-6"/>
                <w:kern w:val="2"/>
                <w:sz w:val="28"/>
                <w:szCs w:val="28"/>
                <w:lang w:val="en-US" w:eastAsia="zh-CN" w:bidi="ar-SA"/>
              </w:rPr>
              <w:t>标签</w:t>
            </w:r>
          </w:p>
        </w:tc>
        <w:tc>
          <w:tcPr>
            <w:tcW w:w="3355" w:type="dxa"/>
            <w:vAlign w:val="center"/>
          </w:tcPr>
          <w:p w14:paraId="274C8ECD">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0D0D0D"/>
                <w:spacing w:val="-6"/>
                <w:kern w:val="2"/>
                <w:sz w:val="28"/>
                <w:szCs w:val="28"/>
                <w:vertAlign w:val="baseline"/>
                <w:lang w:val="en-US" w:eastAsia="zh-CN" w:bidi="ar-SA"/>
              </w:rPr>
            </w:pPr>
          </w:p>
        </w:tc>
      </w:tr>
      <w:tr w14:paraId="6E5F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8" w:type="dxa"/>
            <w:vAlign w:val="center"/>
          </w:tcPr>
          <w:p w14:paraId="2F005980">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spacing w:val="0"/>
                <w:kern w:val="2"/>
                <w:sz w:val="28"/>
                <w:szCs w:val="28"/>
                <w:highlight w:val="none"/>
                <w:vertAlign w:val="baseline"/>
                <w:lang w:val="en-US" w:eastAsia="zh-CN" w:bidi="ar-SA"/>
              </w:rPr>
            </w:pPr>
            <w:r>
              <w:rPr>
                <w:rFonts w:hint="eastAsia" w:ascii="仿宋_GB2312" w:hAnsi="仿宋_GB2312" w:eastAsia="仿宋_GB2312" w:cs="仿宋_GB2312"/>
                <w:spacing w:val="0"/>
                <w:kern w:val="2"/>
                <w:sz w:val="28"/>
                <w:szCs w:val="28"/>
                <w:highlight w:val="none"/>
                <w:vertAlign w:val="baseline"/>
                <w:lang w:val="en-US" w:eastAsia="zh-CN" w:bidi="ar-SA"/>
              </w:rPr>
              <w:t>5</w:t>
            </w:r>
          </w:p>
        </w:tc>
        <w:tc>
          <w:tcPr>
            <w:tcW w:w="3950" w:type="dxa"/>
            <w:vAlign w:val="center"/>
          </w:tcPr>
          <w:p w14:paraId="4BF02665">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0D0D0D"/>
                <w:spacing w:val="-6"/>
                <w:kern w:val="2"/>
                <w:sz w:val="28"/>
                <w:szCs w:val="28"/>
                <w:lang w:val="en-US" w:eastAsia="zh-CN" w:bidi="ar-SA"/>
              </w:rPr>
            </w:pPr>
            <w:r>
              <w:rPr>
                <w:rFonts w:hint="eastAsia" w:ascii="仿宋_GB2312" w:hAnsi="仿宋_GB2312" w:eastAsia="仿宋_GB2312" w:cs="仿宋_GB2312"/>
                <w:color w:val="0D0D0D"/>
                <w:spacing w:val="-6"/>
                <w:kern w:val="2"/>
                <w:sz w:val="28"/>
                <w:szCs w:val="28"/>
                <w:lang w:val="en-US" w:eastAsia="zh-CN" w:bidi="ar-SA"/>
              </w:rPr>
              <w:t>记录</w:t>
            </w:r>
            <w:r>
              <w:rPr>
                <w:rFonts w:hint="eastAsia" w:ascii="仿宋_GB2312" w:hAnsi="仿宋_GB2312" w:eastAsia="仿宋_GB2312" w:cs="仿宋_GB2312"/>
                <w:color w:val="0D0D0D"/>
                <w:spacing w:val="-6"/>
                <w:kern w:val="2"/>
                <w:sz w:val="28"/>
                <w:szCs w:val="28"/>
                <w:lang w:eastAsia="zh-CN" w:bidi="ar-SA"/>
              </w:rPr>
              <w:t>表</w:t>
            </w:r>
          </w:p>
        </w:tc>
        <w:tc>
          <w:tcPr>
            <w:tcW w:w="3355" w:type="dxa"/>
            <w:vAlign w:val="center"/>
          </w:tcPr>
          <w:p w14:paraId="46595FDB">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0D0D0D"/>
                <w:spacing w:val="-6"/>
                <w:kern w:val="2"/>
                <w:sz w:val="28"/>
                <w:szCs w:val="28"/>
                <w:vertAlign w:val="baseline"/>
                <w:lang w:val="en-US" w:eastAsia="zh-CN" w:bidi="ar-SA"/>
              </w:rPr>
            </w:pPr>
          </w:p>
        </w:tc>
      </w:tr>
      <w:tr w14:paraId="67F89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38" w:type="dxa"/>
            <w:vAlign w:val="center"/>
          </w:tcPr>
          <w:p w14:paraId="5B6DC0E3">
            <w:pPr>
              <w:pStyle w:val="22"/>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spacing w:val="0"/>
                <w:kern w:val="2"/>
                <w:sz w:val="28"/>
                <w:szCs w:val="28"/>
                <w:highlight w:val="none"/>
                <w:vertAlign w:val="baseline"/>
                <w:lang w:val="en-US" w:eastAsia="zh-CN" w:bidi="ar-SA"/>
              </w:rPr>
            </w:pPr>
            <w:r>
              <w:rPr>
                <w:rFonts w:hint="eastAsia" w:ascii="仿宋_GB2312" w:hAnsi="仿宋_GB2312" w:eastAsia="仿宋_GB2312" w:cs="仿宋_GB2312"/>
                <w:spacing w:val="0"/>
                <w:kern w:val="2"/>
                <w:sz w:val="28"/>
                <w:szCs w:val="28"/>
                <w:highlight w:val="none"/>
                <w:vertAlign w:val="baseline"/>
                <w:lang w:val="en-US" w:eastAsia="zh-CN" w:bidi="ar-SA"/>
              </w:rPr>
              <w:t>6</w:t>
            </w:r>
          </w:p>
        </w:tc>
        <w:tc>
          <w:tcPr>
            <w:tcW w:w="3950" w:type="dxa"/>
            <w:vAlign w:val="center"/>
          </w:tcPr>
          <w:p w14:paraId="6A924407">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0D0D0D"/>
                <w:spacing w:val="-6"/>
                <w:kern w:val="2"/>
                <w:sz w:val="28"/>
                <w:szCs w:val="28"/>
                <w:lang w:val="en-US" w:eastAsia="zh-CN" w:bidi="ar-SA"/>
              </w:rPr>
            </w:pPr>
            <w:r>
              <w:rPr>
                <w:rFonts w:hint="eastAsia" w:ascii="仿宋_GB2312" w:hAnsi="仿宋_GB2312" w:eastAsia="仿宋_GB2312" w:cs="仿宋_GB2312"/>
                <w:color w:val="0D0D0D"/>
                <w:spacing w:val="-6"/>
                <w:kern w:val="2"/>
                <w:sz w:val="28"/>
                <w:szCs w:val="28"/>
                <w:lang w:val="en-US" w:eastAsia="zh-CN" w:bidi="ar-SA"/>
              </w:rPr>
              <w:t>计算器</w:t>
            </w:r>
          </w:p>
        </w:tc>
        <w:tc>
          <w:tcPr>
            <w:tcW w:w="3355" w:type="dxa"/>
            <w:vAlign w:val="center"/>
          </w:tcPr>
          <w:p w14:paraId="0D051CF1">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0D0D0D"/>
                <w:spacing w:val="-6"/>
                <w:kern w:val="2"/>
                <w:sz w:val="28"/>
                <w:szCs w:val="28"/>
                <w:vertAlign w:val="baseline"/>
                <w:lang w:val="en-US" w:eastAsia="zh-CN" w:bidi="ar-SA"/>
              </w:rPr>
            </w:pPr>
          </w:p>
        </w:tc>
      </w:tr>
    </w:tbl>
    <w:p w14:paraId="189D7828">
      <w:pPr>
        <w:spacing w:line="560" w:lineRule="exact"/>
        <w:jc w:val="both"/>
        <w:rPr>
          <w:rFonts w:hint="eastAsia" w:cs="Times New Roman"/>
          <w:color w:val="auto"/>
          <w:lang w:eastAsia="zh-CN"/>
        </w:rPr>
      </w:pPr>
      <w:r>
        <w:rPr>
          <w:rFonts w:hint="default" w:ascii="Times New Roman" w:hAnsi="Times New Roman" w:cs="Times New Roman"/>
          <w:color w:val="auto"/>
          <w:lang w:eastAsia="zh-CN"/>
        </w:rPr>
        <w:t>备注：草酸钠标准贮备液和高锰酸钾标准贮备液赛前选手可提前自行配制，考核时稀释成标准使用液</w:t>
      </w:r>
      <w:r>
        <w:rPr>
          <w:rFonts w:hint="eastAsia" w:cs="Times New Roman"/>
          <w:color w:val="auto"/>
          <w:lang w:eastAsia="zh-CN"/>
        </w:rPr>
        <w:t>。</w:t>
      </w:r>
    </w:p>
    <w:p w14:paraId="559422DC">
      <w:pPr>
        <w:keepNext w:val="0"/>
        <w:keepLines w:val="0"/>
        <w:pageBreakBefore w:val="0"/>
        <w:numPr>
          <w:ilvl w:val="-1"/>
          <w:numId w:val="0"/>
        </w:numPr>
        <w:kinsoku/>
        <w:wordWrap/>
        <w:topLinePunct w:val="0"/>
        <w:bidi w:val="0"/>
        <w:spacing w:line="560" w:lineRule="exact"/>
        <w:ind w:firstLine="680" w:firstLineChars="200"/>
        <w:jc w:val="both"/>
        <w:rPr>
          <w:rFonts w:hint="default" w:ascii="Times New Roman" w:hAnsi="Times New Roman" w:eastAsia="仿宋_GB2312" w:cs="Times New Roman"/>
          <w:b w:val="0"/>
          <w:bCs w:val="0"/>
          <w:color w:val="0D0D0D"/>
          <w:spacing w:val="-6"/>
          <w:kern w:val="2"/>
          <w:sz w:val="32"/>
          <w:szCs w:val="32"/>
          <w:lang w:val="en-US" w:eastAsia="zh-CN" w:bidi="ar-SA"/>
        </w:rPr>
      </w:pPr>
      <w:r>
        <w:rPr>
          <w:rFonts w:hint="default" w:ascii="Times New Roman" w:hAnsi="Times New Roman" w:eastAsia="仿宋_GB2312" w:cs="Times New Roman"/>
          <w:b w:val="0"/>
          <w:bCs w:val="0"/>
          <w:color w:val="0D0D0D"/>
          <w:spacing w:val="-6"/>
          <w:kern w:val="2"/>
          <w:sz w:val="32"/>
          <w:szCs w:val="32"/>
          <w:lang w:val="en-US" w:eastAsia="zh-CN" w:bidi="ar-SA"/>
        </w:rPr>
        <w:t>（</w:t>
      </w:r>
      <w:r>
        <w:rPr>
          <w:rFonts w:hint="default" w:eastAsia="仿宋_GB2312" w:cs="Times New Roman"/>
          <w:b w:val="0"/>
          <w:bCs w:val="0"/>
          <w:color w:val="0D0D0D"/>
          <w:spacing w:val="-6"/>
          <w:kern w:val="2"/>
          <w:sz w:val="32"/>
          <w:szCs w:val="32"/>
          <w:lang w:val="en-US" w:eastAsia="zh-CN" w:bidi="ar-SA"/>
        </w:rPr>
        <w:t>3</w:t>
      </w:r>
      <w:r>
        <w:rPr>
          <w:rFonts w:hint="default" w:ascii="Times New Roman" w:hAnsi="Times New Roman" w:eastAsia="仿宋_GB2312" w:cs="Times New Roman"/>
          <w:b w:val="0"/>
          <w:bCs w:val="0"/>
          <w:color w:val="0D0D0D"/>
          <w:spacing w:val="-6"/>
          <w:kern w:val="2"/>
          <w:sz w:val="32"/>
          <w:szCs w:val="32"/>
          <w:lang w:val="en-US" w:eastAsia="zh-CN" w:bidi="ar-SA"/>
        </w:rPr>
        <w:t>）禁带物资</w:t>
      </w:r>
    </w:p>
    <w:tbl>
      <w:tblPr>
        <w:tblStyle w:val="12"/>
        <w:tblpPr w:leftFromText="180" w:rightFromText="180" w:vertAnchor="text" w:horzAnchor="page" w:tblpX="1627" w:tblpY="2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8"/>
        <w:gridCol w:w="3970"/>
        <w:gridCol w:w="3325"/>
      </w:tblGrid>
      <w:tr w14:paraId="78AC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48" w:type="dxa"/>
            <w:vAlign w:val="center"/>
          </w:tcPr>
          <w:p w14:paraId="3142218C">
            <w:pPr>
              <w:pStyle w:val="8"/>
              <w:numPr>
                <w:ilvl w:val="-1"/>
                <w:numId w:val="0"/>
              </w:num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序号</w:t>
            </w:r>
          </w:p>
        </w:tc>
        <w:tc>
          <w:tcPr>
            <w:tcW w:w="3970" w:type="dxa"/>
            <w:vAlign w:val="center"/>
          </w:tcPr>
          <w:p w14:paraId="2FB7849D">
            <w:pPr>
              <w:pStyle w:val="8"/>
              <w:numPr>
                <w:ilvl w:val="-1"/>
                <w:numId w:val="0"/>
              </w:num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禁带物资</w:t>
            </w:r>
          </w:p>
        </w:tc>
        <w:tc>
          <w:tcPr>
            <w:tcW w:w="3325" w:type="dxa"/>
            <w:vAlign w:val="center"/>
          </w:tcPr>
          <w:p w14:paraId="04F93B2A">
            <w:pPr>
              <w:pStyle w:val="8"/>
              <w:numPr>
                <w:ilvl w:val="-1"/>
                <w:numId w:val="0"/>
              </w:numPr>
              <w:ind w:firstLine="600" w:firstLineChars="200"/>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备注</w:t>
            </w:r>
          </w:p>
        </w:tc>
      </w:tr>
      <w:tr w14:paraId="1992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48" w:type="dxa"/>
            <w:vAlign w:val="center"/>
          </w:tcPr>
          <w:p w14:paraId="7072B0BF">
            <w:pPr>
              <w:pStyle w:val="8"/>
              <w:numPr>
                <w:ilvl w:val="-1"/>
                <w:numId w:val="0"/>
              </w:num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3970" w:type="dxa"/>
          </w:tcPr>
          <w:p w14:paraId="3B2F52C5">
            <w:pPr>
              <w:pStyle w:val="8"/>
              <w:keepNext w:val="0"/>
              <w:keepLines w:val="0"/>
              <w:pageBreakBefore w:val="0"/>
              <w:widowControl w:val="0"/>
              <w:numPr>
                <w:ilvl w:val="-1"/>
                <w:numId w:val="0"/>
              </w:numPr>
              <w:kinsoku/>
              <w:wordWrap/>
              <w:overflowPunct w:val="0"/>
              <w:topLinePunct w:val="0"/>
              <w:autoSpaceDE w:val="0"/>
              <w:autoSpaceDN w:val="0"/>
              <w:bidi w:val="0"/>
              <w:adjustRightInd w:val="0"/>
              <w:snapToGrid/>
              <w:spacing w:line="440" w:lineRule="exact"/>
              <w:textAlignment w:val="baseline"/>
              <w:rPr>
                <w:rFonts w:hint="eastAsia" w:ascii="仿宋_GB2312" w:hAnsi="仿宋_GB2312" w:eastAsia="仿宋_GB2312" w:cs="仿宋_GB2312"/>
                <w:color w:val="0D0D0D"/>
                <w:sz w:val="28"/>
                <w:szCs w:val="28"/>
                <w:vertAlign w:val="baseline"/>
                <w:lang w:val="en-US" w:eastAsia="zh-CN"/>
              </w:rPr>
            </w:pPr>
            <w:r>
              <w:rPr>
                <w:rFonts w:hint="eastAsia" w:ascii="仿宋_GB2312" w:hAnsi="仿宋_GB2312" w:eastAsia="仿宋_GB2312" w:cs="仿宋_GB2312"/>
                <w:color w:val="0D0D0D"/>
                <w:spacing w:val="-6"/>
                <w:kern w:val="2"/>
                <w:sz w:val="28"/>
                <w:szCs w:val="28"/>
                <w:lang w:val="en-US" w:eastAsia="zh-CN" w:bidi="ar-SA"/>
              </w:rPr>
              <w:t>各种文字材料</w:t>
            </w:r>
          </w:p>
        </w:tc>
        <w:tc>
          <w:tcPr>
            <w:tcW w:w="3325" w:type="dxa"/>
            <w:vAlign w:val="top"/>
          </w:tcPr>
          <w:p w14:paraId="3CBBE302">
            <w:pPr>
              <w:pStyle w:val="8"/>
              <w:numPr>
                <w:ilvl w:val="-1"/>
                <w:numId w:val="0"/>
              </w:numPr>
              <w:rPr>
                <w:rFonts w:hint="eastAsia" w:ascii="仿宋_GB2312" w:hAnsi="仿宋_GB2312" w:eastAsia="仿宋_GB2312" w:cs="仿宋_GB2312"/>
                <w:color w:val="0D0D0D"/>
                <w:sz w:val="28"/>
                <w:szCs w:val="28"/>
                <w:vertAlign w:val="baseline"/>
                <w:lang w:val="en-US" w:eastAsia="zh-CN"/>
              </w:rPr>
            </w:pPr>
          </w:p>
        </w:tc>
      </w:tr>
      <w:tr w14:paraId="4503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48" w:type="dxa"/>
            <w:vAlign w:val="center"/>
          </w:tcPr>
          <w:p w14:paraId="5F8ABA6E">
            <w:pPr>
              <w:pStyle w:val="8"/>
              <w:numPr>
                <w:ilvl w:val="-1"/>
                <w:numId w:val="0"/>
              </w:num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3970" w:type="dxa"/>
          </w:tcPr>
          <w:p w14:paraId="6A1B58D3">
            <w:pPr>
              <w:pStyle w:val="8"/>
              <w:keepNext w:val="0"/>
              <w:keepLines w:val="0"/>
              <w:pageBreakBefore w:val="0"/>
              <w:widowControl w:val="0"/>
              <w:numPr>
                <w:ilvl w:val="-1"/>
                <w:numId w:val="0"/>
              </w:numPr>
              <w:kinsoku/>
              <w:wordWrap/>
              <w:overflowPunct w:val="0"/>
              <w:topLinePunct w:val="0"/>
              <w:autoSpaceDE w:val="0"/>
              <w:autoSpaceDN w:val="0"/>
              <w:bidi w:val="0"/>
              <w:adjustRightInd w:val="0"/>
              <w:snapToGrid/>
              <w:spacing w:line="440" w:lineRule="exact"/>
              <w:textAlignment w:val="baseline"/>
              <w:rPr>
                <w:rFonts w:hint="eastAsia" w:ascii="仿宋_GB2312" w:hAnsi="仿宋_GB2312" w:eastAsia="仿宋_GB2312" w:cs="仿宋_GB2312"/>
                <w:color w:val="0D0D0D"/>
                <w:sz w:val="28"/>
                <w:szCs w:val="28"/>
                <w:vertAlign w:val="baseline"/>
                <w:lang w:val="en-US" w:eastAsia="zh-CN"/>
              </w:rPr>
            </w:pPr>
            <w:r>
              <w:rPr>
                <w:rFonts w:hint="eastAsia" w:ascii="仿宋_GB2312" w:hAnsi="仿宋_GB2312" w:eastAsia="仿宋_GB2312" w:cs="仿宋_GB2312"/>
                <w:color w:val="0D0D0D"/>
                <w:spacing w:val="-6"/>
                <w:kern w:val="2"/>
                <w:sz w:val="28"/>
                <w:szCs w:val="28"/>
                <w:lang w:val="en-US" w:eastAsia="zh-CN" w:bidi="ar-SA"/>
              </w:rPr>
              <w:t>设备服务模块</w:t>
            </w:r>
          </w:p>
        </w:tc>
        <w:tc>
          <w:tcPr>
            <w:tcW w:w="3325" w:type="dxa"/>
            <w:vAlign w:val="top"/>
          </w:tcPr>
          <w:p w14:paraId="2465FBDD">
            <w:pPr>
              <w:pStyle w:val="8"/>
              <w:numPr>
                <w:ilvl w:val="-1"/>
                <w:numId w:val="0"/>
              </w:numPr>
              <w:rPr>
                <w:rFonts w:hint="eastAsia" w:ascii="仿宋_GB2312" w:hAnsi="仿宋_GB2312" w:eastAsia="仿宋_GB2312" w:cs="仿宋_GB2312"/>
                <w:color w:val="0D0D0D"/>
                <w:sz w:val="28"/>
                <w:szCs w:val="28"/>
                <w:vertAlign w:val="baseline"/>
                <w:lang w:val="en-US" w:eastAsia="zh-CN"/>
              </w:rPr>
            </w:pPr>
          </w:p>
        </w:tc>
      </w:tr>
      <w:tr w14:paraId="43EC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8" w:type="dxa"/>
            <w:vAlign w:val="center"/>
          </w:tcPr>
          <w:p w14:paraId="0BC485E5">
            <w:pPr>
              <w:pStyle w:val="8"/>
              <w:numPr>
                <w:ilvl w:val="-1"/>
                <w:numId w:val="0"/>
              </w:num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3970" w:type="dxa"/>
          </w:tcPr>
          <w:p w14:paraId="372617CB">
            <w:pPr>
              <w:pStyle w:val="8"/>
              <w:keepNext w:val="0"/>
              <w:keepLines w:val="0"/>
              <w:pageBreakBefore w:val="0"/>
              <w:widowControl w:val="0"/>
              <w:numPr>
                <w:ilvl w:val="-1"/>
                <w:numId w:val="0"/>
              </w:numPr>
              <w:kinsoku/>
              <w:wordWrap/>
              <w:overflowPunct w:val="0"/>
              <w:topLinePunct w:val="0"/>
              <w:autoSpaceDE w:val="0"/>
              <w:autoSpaceDN w:val="0"/>
              <w:bidi w:val="0"/>
              <w:adjustRightInd w:val="0"/>
              <w:snapToGrid/>
              <w:spacing w:line="440" w:lineRule="exact"/>
              <w:textAlignment w:val="baseline"/>
              <w:rPr>
                <w:rFonts w:hint="eastAsia" w:ascii="仿宋_GB2312" w:hAnsi="仿宋_GB2312" w:eastAsia="仿宋_GB2312" w:cs="仿宋_GB2312"/>
                <w:color w:val="0D0D0D"/>
                <w:sz w:val="28"/>
                <w:szCs w:val="28"/>
                <w:vertAlign w:val="baseline"/>
                <w:lang w:val="en-US" w:eastAsia="zh-CN"/>
              </w:rPr>
            </w:pPr>
            <w:r>
              <w:rPr>
                <w:rFonts w:hint="eastAsia" w:ascii="仿宋_GB2312" w:hAnsi="仿宋_GB2312" w:eastAsia="仿宋_GB2312" w:cs="仿宋_GB2312"/>
                <w:color w:val="0D0D0D"/>
                <w:spacing w:val="-6"/>
                <w:kern w:val="2"/>
                <w:sz w:val="28"/>
                <w:szCs w:val="28"/>
                <w:lang w:val="en-US" w:eastAsia="zh-CN" w:bidi="ar-SA"/>
              </w:rPr>
              <w:t>移液枪等自动、半自动移液、配液等实验装置</w:t>
            </w:r>
          </w:p>
        </w:tc>
        <w:tc>
          <w:tcPr>
            <w:tcW w:w="3325" w:type="dxa"/>
          </w:tcPr>
          <w:p w14:paraId="7FAE6B8D">
            <w:pPr>
              <w:pStyle w:val="8"/>
              <w:numPr>
                <w:ilvl w:val="-1"/>
                <w:numId w:val="0"/>
              </w:numPr>
              <w:rPr>
                <w:rFonts w:hint="eastAsia" w:ascii="仿宋_GB2312" w:hAnsi="仿宋_GB2312" w:eastAsia="仿宋_GB2312" w:cs="仿宋_GB2312"/>
                <w:color w:val="0D0D0D"/>
                <w:sz w:val="28"/>
                <w:szCs w:val="28"/>
                <w:vertAlign w:val="baseline"/>
                <w:lang w:val="en-US" w:eastAsia="zh-CN"/>
              </w:rPr>
            </w:pPr>
          </w:p>
        </w:tc>
      </w:tr>
    </w:tbl>
    <w:p w14:paraId="11CBAE7F">
      <w:pPr>
        <w:spacing w:line="560" w:lineRule="exact"/>
        <w:ind w:firstLine="680" w:firstLineChars="200"/>
        <w:jc w:val="both"/>
        <w:rPr>
          <w:rFonts w:hint="default" w:ascii="Times New Roman" w:hAnsi="Times New Roman" w:eastAsia="黑体" w:cs="Times New Roman"/>
        </w:rPr>
      </w:pPr>
      <w:r>
        <w:rPr>
          <w:rFonts w:hint="default" w:ascii="Times New Roman" w:hAnsi="Times New Roman" w:eastAsia="黑体" w:cs="Times New Roman"/>
        </w:rPr>
        <w:t>五、竞赛细则</w:t>
      </w:r>
    </w:p>
    <w:p w14:paraId="75B803C6">
      <w:pPr>
        <w:spacing w:line="560" w:lineRule="exact"/>
        <w:ind w:firstLine="680" w:firstLineChars="200"/>
        <w:jc w:val="both"/>
        <w:rPr>
          <w:rFonts w:hint="default" w:ascii="Times New Roman" w:hAnsi="Times New Roman" w:eastAsia="楷体_GB2312" w:cs="Times New Roman"/>
          <w:color w:val="auto"/>
        </w:rPr>
      </w:pPr>
      <w:r>
        <w:rPr>
          <w:rFonts w:hint="default" w:ascii="Times New Roman" w:hAnsi="Times New Roman" w:eastAsia="楷体_GB2312" w:cs="Times New Roman"/>
          <w:color w:val="auto"/>
        </w:rPr>
        <w:t>（一）理论知识竞赛守则</w:t>
      </w:r>
    </w:p>
    <w:p w14:paraId="0C00B4B7">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1.参赛证由竞赛执委会于竞赛开始前统一核发</w:t>
      </w:r>
      <w:r>
        <w:rPr>
          <w:rFonts w:hint="default" w:ascii="Times New Roman" w:hAnsi="Times New Roman" w:cs="Times New Roman"/>
          <w:color w:val="auto"/>
          <w:spacing w:val="-6"/>
          <w:kern w:val="2"/>
          <w:sz w:val="32"/>
          <w:szCs w:val="20"/>
          <w:u w:color="000000"/>
          <w:lang w:val="en-US" w:eastAsia="zh-CN" w:bidi="ar-SA"/>
        </w:rPr>
        <w:t>。</w:t>
      </w:r>
    </w:p>
    <w:p w14:paraId="1C0CA68B">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2.参赛选手需提前20分钟凭有效身份证和参赛证进入赛场，对号入座并将身份证和参赛证放在座位左上角明显位置，以备查验。迟到20分钟不得入场，开赛20分钟后方可交卷离场</w:t>
      </w:r>
      <w:r>
        <w:rPr>
          <w:rFonts w:hint="default" w:ascii="Times New Roman" w:hAnsi="Times New Roman" w:cs="Times New Roman"/>
          <w:color w:val="auto"/>
          <w:spacing w:val="-6"/>
          <w:kern w:val="2"/>
          <w:sz w:val="32"/>
          <w:szCs w:val="20"/>
          <w:u w:color="000000"/>
          <w:lang w:val="en-US" w:eastAsia="zh-CN" w:bidi="ar-SA"/>
        </w:rPr>
        <w:t>。</w:t>
      </w:r>
    </w:p>
    <w:p w14:paraId="44E0E76F">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bookmarkStart w:id="3" w:name="_Hlk518375175"/>
      <w:r>
        <w:rPr>
          <w:rFonts w:hint="default" w:ascii="Times New Roman" w:hAnsi="Times New Roman" w:eastAsia="仿宋_GB2312" w:cs="Times New Roman"/>
          <w:color w:val="auto"/>
          <w:spacing w:val="-6"/>
          <w:kern w:val="2"/>
          <w:sz w:val="32"/>
          <w:szCs w:val="20"/>
          <w:u w:color="000000"/>
          <w:lang w:val="en-US" w:eastAsia="zh-CN" w:bidi="ar-SA"/>
        </w:rPr>
        <w:t>3.参赛选手不</w:t>
      </w:r>
      <w:r>
        <w:rPr>
          <w:rFonts w:hint="eastAsia" w:cs="Times New Roman"/>
          <w:color w:val="auto"/>
          <w:spacing w:val="-6"/>
          <w:kern w:val="2"/>
          <w:sz w:val="32"/>
          <w:szCs w:val="20"/>
          <w:u w:color="000000"/>
          <w:lang w:val="en-US" w:eastAsia="zh-CN" w:bidi="ar-SA"/>
        </w:rPr>
        <w:t>得</w:t>
      </w:r>
      <w:r>
        <w:rPr>
          <w:rFonts w:hint="default" w:ascii="Times New Roman" w:hAnsi="Times New Roman" w:eastAsia="仿宋_GB2312" w:cs="Times New Roman"/>
          <w:color w:val="auto"/>
          <w:spacing w:val="-6"/>
          <w:kern w:val="2"/>
          <w:sz w:val="32"/>
          <w:szCs w:val="20"/>
          <w:u w:color="000000"/>
          <w:lang w:val="en-US" w:eastAsia="zh-CN" w:bidi="ar-SA"/>
        </w:rPr>
        <w:t>携带与竞赛相关的文件资料、手机等通讯工具进入赛场。在赛场上应自觉遵守赛场秩序，保持安静，竞赛进行过程中不允许任何形式的交谈，不得大声喧哗吵闹，否则将给予警告直至取消竞赛资格</w:t>
      </w:r>
      <w:bookmarkEnd w:id="3"/>
      <w:r>
        <w:rPr>
          <w:rFonts w:hint="default" w:ascii="Times New Roman" w:hAnsi="Times New Roman" w:cs="Times New Roman"/>
          <w:color w:val="auto"/>
          <w:spacing w:val="-6"/>
          <w:kern w:val="2"/>
          <w:sz w:val="32"/>
          <w:szCs w:val="20"/>
          <w:u w:color="000000"/>
          <w:lang w:val="en-US" w:eastAsia="zh-CN" w:bidi="ar-SA"/>
        </w:rPr>
        <w:t>。</w:t>
      </w:r>
    </w:p>
    <w:p w14:paraId="1FAC5973">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4.冒名顶替、弄虚作假、作弊者，</w:t>
      </w:r>
      <w:r>
        <w:rPr>
          <w:rFonts w:hint="eastAsia" w:cs="Times New Roman"/>
          <w:color w:val="auto"/>
          <w:spacing w:val="-6"/>
          <w:kern w:val="2"/>
          <w:sz w:val="32"/>
          <w:szCs w:val="20"/>
          <w:u w:color="000000"/>
          <w:lang w:val="en-US" w:eastAsia="zh-CN" w:bidi="ar-SA"/>
        </w:rPr>
        <w:t>将被</w:t>
      </w:r>
      <w:r>
        <w:rPr>
          <w:rFonts w:hint="default" w:ascii="Times New Roman" w:hAnsi="Times New Roman" w:eastAsia="仿宋_GB2312" w:cs="Times New Roman"/>
          <w:color w:val="auto"/>
          <w:spacing w:val="-6"/>
          <w:kern w:val="2"/>
          <w:sz w:val="32"/>
          <w:szCs w:val="20"/>
          <w:u w:color="000000"/>
          <w:lang w:val="en-US" w:eastAsia="zh-CN" w:bidi="ar-SA"/>
        </w:rPr>
        <w:t>取消竞赛资格及成绩</w:t>
      </w:r>
      <w:r>
        <w:rPr>
          <w:rFonts w:hint="default" w:ascii="Times New Roman" w:hAnsi="Times New Roman" w:cs="Times New Roman"/>
          <w:color w:val="auto"/>
          <w:spacing w:val="-6"/>
          <w:kern w:val="2"/>
          <w:sz w:val="32"/>
          <w:szCs w:val="20"/>
          <w:u w:color="000000"/>
          <w:lang w:val="en-US" w:eastAsia="zh-CN" w:bidi="ar-SA"/>
        </w:rPr>
        <w:t>。</w:t>
      </w:r>
    </w:p>
    <w:p w14:paraId="5BB3298D">
      <w:pPr>
        <w:spacing w:line="560" w:lineRule="exact"/>
        <w:ind w:firstLine="680" w:firstLineChars="200"/>
        <w:jc w:val="both"/>
        <w:rPr>
          <w:rFonts w:hint="default" w:ascii="Times New Roman" w:hAnsi="Times New Roman" w:eastAsia="仿宋_GB2312" w:cs="Times New Roman"/>
          <w:szCs w:val="32"/>
        </w:rPr>
      </w:pPr>
      <w:r>
        <w:rPr>
          <w:rFonts w:hint="default" w:ascii="Times New Roman" w:hAnsi="Times New Roman" w:eastAsia="仿宋_GB2312" w:cs="Times New Roman"/>
          <w:color w:val="auto"/>
          <w:spacing w:val="-6"/>
          <w:kern w:val="2"/>
          <w:sz w:val="32"/>
          <w:szCs w:val="20"/>
          <w:u w:color="000000"/>
          <w:lang w:val="en-US" w:eastAsia="zh-CN" w:bidi="ar-SA"/>
        </w:rPr>
        <w:t>5.竞赛规定时间结束时，选手应</w:t>
      </w:r>
      <w:r>
        <w:rPr>
          <w:rFonts w:hint="default" w:ascii="Times New Roman" w:hAnsi="Times New Roman" w:eastAsia="仿宋_GB2312" w:cs="Times New Roman"/>
          <w:szCs w:val="32"/>
        </w:rPr>
        <w:t>立即停止答题，有秩序的离开赛场。</w:t>
      </w:r>
    </w:p>
    <w:p w14:paraId="041BA440">
      <w:pPr>
        <w:spacing w:line="560" w:lineRule="exact"/>
        <w:ind w:firstLine="680" w:firstLineChars="200"/>
        <w:jc w:val="both"/>
        <w:rPr>
          <w:rFonts w:hint="default" w:ascii="Times New Roman" w:hAnsi="Times New Roman" w:eastAsia="楷体_GB2312" w:cs="Times New Roman"/>
          <w:color w:val="auto"/>
        </w:rPr>
      </w:pPr>
      <w:r>
        <w:rPr>
          <w:rFonts w:hint="default" w:ascii="Times New Roman" w:hAnsi="Times New Roman" w:eastAsia="楷体_GB2312" w:cs="Times New Roman"/>
          <w:color w:val="auto"/>
        </w:rPr>
        <w:t>（二）实际操作竞赛赛场守则</w:t>
      </w:r>
    </w:p>
    <w:p w14:paraId="36A16C1C">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1.实际操作竞赛选手的出场顺序和实操工位由抽签决定</w:t>
      </w:r>
      <w:r>
        <w:rPr>
          <w:rFonts w:hint="default" w:ascii="Times New Roman" w:hAnsi="Times New Roman" w:cs="Times New Roman"/>
          <w:color w:val="auto"/>
          <w:spacing w:val="-6"/>
          <w:kern w:val="2"/>
          <w:sz w:val="32"/>
          <w:szCs w:val="20"/>
          <w:u w:color="000000"/>
          <w:lang w:val="en-US" w:eastAsia="zh-CN" w:bidi="ar-SA"/>
        </w:rPr>
        <w:t>。</w:t>
      </w:r>
    </w:p>
    <w:p w14:paraId="6C9F2B4A">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2.参赛选手需提前</w:t>
      </w:r>
      <w:r>
        <w:rPr>
          <w:rFonts w:hint="eastAsia" w:cs="Times New Roman"/>
          <w:color w:val="auto"/>
          <w:spacing w:val="-6"/>
          <w:kern w:val="2"/>
          <w:sz w:val="32"/>
          <w:szCs w:val="20"/>
          <w:u w:color="000000"/>
          <w:lang w:val="en-US" w:eastAsia="zh-CN" w:bidi="ar-SA"/>
        </w:rPr>
        <w:t>3</w:t>
      </w:r>
      <w:r>
        <w:rPr>
          <w:rFonts w:hint="default" w:ascii="Times New Roman" w:hAnsi="Times New Roman" w:eastAsia="仿宋_GB2312" w:cs="Times New Roman"/>
          <w:color w:val="auto"/>
          <w:spacing w:val="-6"/>
          <w:kern w:val="2"/>
          <w:sz w:val="32"/>
          <w:szCs w:val="20"/>
          <w:u w:color="000000"/>
          <w:lang w:val="en-US" w:eastAsia="zh-CN" w:bidi="ar-SA"/>
        </w:rPr>
        <w:t>0分钟凭有效身份证和参赛证进入赛场，对竞赛工具设备进行检查</w:t>
      </w:r>
      <w:r>
        <w:rPr>
          <w:rFonts w:hint="default" w:ascii="Times New Roman" w:hAnsi="Times New Roman" w:cs="Times New Roman"/>
          <w:color w:val="auto"/>
          <w:spacing w:val="-6"/>
          <w:kern w:val="2"/>
          <w:sz w:val="32"/>
          <w:szCs w:val="20"/>
          <w:u w:color="000000"/>
          <w:lang w:val="en-US" w:eastAsia="zh-CN" w:bidi="ar-SA"/>
        </w:rPr>
        <w:t>。</w:t>
      </w:r>
      <w:bookmarkStart w:id="4" w:name="_GoBack"/>
      <w:bookmarkEnd w:id="4"/>
    </w:p>
    <w:p w14:paraId="262A8FD0">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3.开赛迟到30分钟以上者，按自动弃权处理</w:t>
      </w:r>
      <w:r>
        <w:rPr>
          <w:rFonts w:hint="default" w:ascii="Times New Roman" w:hAnsi="Times New Roman" w:cs="Times New Roman"/>
          <w:color w:val="auto"/>
          <w:spacing w:val="-6"/>
          <w:kern w:val="2"/>
          <w:sz w:val="32"/>
          <w:szCs w:val="20"/>
          <w:u w:color="000000"/>
          <w:lang w:val="en-US" w:eastAsia="zh-CN" w:bidi="ar-SA"/>
        </w:rPr>
        <w:t>。</w:t>
      </w:r>
    </w:p>
    <w:p w14:paraId="5FE31877">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4.参赛选手按赛题</w:t>
      </w:r>
      <w:r>
        <w:rPr>
          <w:rFonts w:hint="eastAsia" w:cs="Times New Roman"/>
          <w:color w:val="auto"/>
          <w:spacing w:val="-6"/>
          <w:kern w:val="2"/>
          <w:sz w:val="32"/>
          <w:szCs w:val="20"/>
          <w:u w:color="000000"/>
          <w:lang w:val="en-US" w:eastAsia="zh-CN" w:bidi="ar-SA"/>
        </w:rPr>
        <w:t>要求</w:t>
      </w:r>
      <w:r>
        <w:rPr>
          <w:rFonts w:hint="default" w:ascii="Times New Roman" w:hAnsi="Times New Roman" w:eastAsia="仿宋_GB2312" w:cs="Times New Roman"/>
          <w:color w:val="auto"/>
          <w:spacing w:val="-6"/>
          <w:kern w:val="2"/>
          <w:sz w:val="32"/>
          <w:szCs w:val="20"/>
          <w:u w:color="000000"/>
          <w:lang w:val="en-US" w:eastAsia="zh-CN" w:bidi="ar-SA"/>
        </w:rPr>
        <w:t>完成各竞赛项目，并主动配合</w:t>
      </w:r>
      <w:r>
        <w:rPr>
          <w:rFonts w:hint="eastAsia" w:cs="Times New Roman"/>
          <w:color w:val="auto"/>
          <w:spacing w:val="-6"/>
          <w:kern w:val="2"/>
          <w:sz w:val="32"/>
          <w:szCs w:val="20"/>
          <w:u w:color="000000"/>
          <w:lang w:val="en-US" w:eastAsia="zh-CN" w:bidi="ar-SA"/>
        </w:rPr>
        <w:t>裁判员</w:t>
      </w:r>
      <w:r>
        <w:rPr>
          <w:rFonts w:hint="default" w:ascii="Times New Roman" w:hAnsi="Times New Roman" w:eastAsia="仿宋_GB2312" w:cs="Times New Roman"/>
          <w:color w:val="auto"/>
          <w:spacing w:val="-6"/>
          <w:kern w:val="2"/>
          <w:sz w:val="32"/>
          <w:szCs w:val="20"/>
          <w:u w:color="000000"/>
          <w:lang w:val="en-US" w:eastAsia="zh-CN" w:bidi="ar-SA"/>
        </w:rPr>
        <w:t>评分</w:t>
      </w:r>
      <w:r>
        <w:rPr>
          <w:rFonts w:hint="default" w:ascii="Times New Roman" w:hAnsi="Times New Roman" w:cs="Times New Roman"/>
          <w:color w:val="auto"/>
          <w:spacing w:val="-6"/>
          <w:kern w:val="2"/>
          <w:sz w:val="32"/>
          <w:szCs w:val="20"/>
          <w:u w:color="000000"/>
          <w:lang w:val="en-US" w:eastAsia="zh-CN" w:bidi="ar-SA"/>
        </w:rPr>
        <w:t>。</w:t>
      </w:r>
    </w:p>
    <w:p w14:paraId="63CE967A">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5.参赛选手应严格遵守赛场纪律，</w:t>
      </w:r>
      <w:r>
        <w:rPr>
          <w:rFonts w:hint="eastAsia" w:cs="Times New Roman"/>
          <w:color w:val="auto"/>
          <w:spacing w:val="-6"/>
          <w:kern w:val="2"/>
          <w:sz w:val="32"/>
          <w:szCs w:val="20"/>
          <w:u w:color="000000"/>
          <w:lang w:val="en-US" w:eastAsia="zh-CN" w:bidi="ar-SA"/>
        </w:rPr>
        <w:t>不得携带</w:t>
      </w:r>
      <w:r>
        <w:rPr>
          <w:rFonts w:hint="default" w:ascii="Times New Roman" w:hAnsi="Times New Roman" w:eastAsia="仿宋_GB2312" w:cs="Times New Roman"/>
          <w:color w:val="auto"/>
          <w:spacing w:val="-6"/>
          <w:kern w:val="2"/>
          <w:sz w:val="32"/>
          <w:szCs w:val="20"/>
          <w:u w:color="000000"/>
          <w:lang w:val="en-US" w:eastAsia="zh-CN" w:bidi="ar-SA"/>
        </w:rPr>
        <w:t>通讯工具、摄像工具</w:t>
      </w:r>
      <w:r>
        <w:rPr>
          <w:rFonts w:hint="eastAsia" w:cs="Times New Roman"/>
          <w:color w:val="auto"/>
          <w:spacing w:val="-6"/>
          <w:kern w:val="2"/>
          <w:sz w:val="32"/>
          <w:szCs w:val="20"/>
          <w:u w:color="000000"/>
          <w:lang w:val="en-US" w:eastAsia="zh-CN" w:bidi="ar-SA"/>
        </w:rPr>
        <w:t>进</w:t>
      </w:r>
      <w:r>
        <w:rPr>
          <w:rFonts w:hint="default" w:ascii="Times New Roman" w:hAnsi="Times New Roman" w:eastAsia="仿宋_GB2312" w:cs="Times New Roman"/>
          <w:color w:val="auto"/>
          <w:spacing w:val="-6"/>
          <w:kern w:val="2"/>
          <w:sz w:val="32"/>
          <w:szCs w:val="20"/>
          <w:u w:color="000000"/>
          <w:lang w:val="en-US" w:eastAsia="zh-CN" w:bidi="ar-SA"/>
        </w:rPr>
        <w:t>入竞赛现场，爱护竞赛设施设备，防止丢失和损坏</w:t>
      </w:r>
      <w:r>
        <w:rPr>
          <w:rFonts w:hint="default" w:ascii="Times New Roman" w:hAnsi="Times New Roman" w:cs="Times New Roman"/>
          <w:color w:val="auto"/>
          <w:spacing w:val="-6"/>
          <w:kern w:val="2"/>
          <w:sz w:val="32"/>
          <w:szCs w:val="20"/>
          <w:u w:color="000000"/>
          <w:lang w:val="en-US" w:eastAsia="zh-CN" w:bidi="ar-SA"/>
        </w:rPr>
        <w:t>。</w:t>
      </w:r>
    </w:p>
    <w:p w14:paraId="45A6D2CF">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6.冒名顶替、弄虚作假、作弊者，</w:t>
      </w:r>
      <w:r>
        <w:rPr>
          <w:rFonts w:hint="eastAsia" w:cs="Times New Roman"/>
          <w:color w:val="auto"/>
          <w:spacing w:val="-6"/>
          <w:kern w:val="2"/>
          <w:sz w:val="32"/>
          <w:szCs w:val="20"/>
          <w:u w:color="000000"/>
          <w:lang w:val="en-US" w:eastAsia="zh-CN" w:bidi="ar-SA"/>
        </w:rPr>
        <w:t>将被</w:t>
      </w:r>
      <w:r>
        <w:rPr>
          <w:rFonts w:hint="default" w:ascii="Times New Roman" w:hAnsi="Times New Roman" w:eastAsia="仿宋_GB2312" w:cs="Times New Roman"/>
          <w:color w:val="auto"/>
          <w:spacing w:val="-6"/>
          <w:kern w:val="2"/>
          <w:sz w:val="32"/>
          <w:szCs w:val="20"/>
          <w:u w:color="000000"/>
          <w:lang w:val="en-US" w:eastAsia="zh-CN" w:bidi="ar-SA"/>
        </w:rPr>
        <w:t>取消竞赛资格及成绩</w:t>
      </w:r>
      <w:r>
        <w:rPr>
          <w:rFonts w:hint="default" w:ascii="Times New Roman" w:hAnsi="Times New Roman" w:cs="Times New Roman"/>
          <w:color w:val="auto"/>
          <w:spacing w:val="-6"/>
          <w:kern w:val="2"/>
          <w:sz w:val="32"/>
          <w:szCs w:val="20"/>
          <w:u w:color="000000"/>
          <w:lang w:val="en-US" w:eastAsia="zh-CN" w:bidi="ar-SA"/>
        </w:rPr>
        <w:t>。</w:t>
      </w:r>
    </w:p>
    <w:p w14:paraId="0027736F">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7.参赛选手须严格遵守安全操作规程及劳动保护要求，接受</w:t>
      </w:r>
      <w:r>
        <w:rPr>
          <w:rFonts w:hint="eastAsia" w:cs="Times New Roman"/>
          <w:color w:val="auto"/>
          <w:spacing w:val="-6"/>
          <w:kern w:val="2"/>
          <w:sz w:val="32"/>
          <w:szCs w:val="20"/>
          <w:u w:color="000000"/>
          <w:lang w:val="en-US" w:eastAsia="zh-CN" w:bidi="ar-SA"/>
        </w:rPr>
        <w:t>裁判员</w:t>
      </w:r>
      <w:r>
        <w:rPr>
          <w:rFonts w:hint="default" w:ascii="Times New Roman" w:hAnsi="Times New Roman" w:eastAsia="仿宋_GB2312" w:cs="Times New Roman"/>
          <w:color w:val="auto"/>
          <w:spacing w:val="-6"/>
          <w:kern w:val="2"/>
          <w:sz w:val="32"/>
          <w:szCs w:val="20"/>
          <w:u w:color="000000"/>
          <w:lang w:val="en-US" w:eastAsia="zh-CN" w:bidi="ar-SA"/>
        </w:rPr>
        <w:t>、现场技术服务人员的监督和警示，确保</w:t>
      </w:r>
      <w:r>
        <w:rPr>
          <w:rFonts w:hint="eastAsia" w:cs="Times New Roman"/>
          <w:color w:val="auto"/>
          <w:spacing w:val="-6"/>
          <w:kern w:val="2"/>
          <w:sz w:val="32"/>
          <w:szCs w:val="20"/>
          <w:u w:color="000000"/>
          <w:lang w:val="en-US" w:eastAsia="zh-CN" w:bidi="ar-SA"/>
        </w:rPr>
        <w:t>人身</w:t>
      </w:r>
      <w:r>
        <w:rPr>
          <w:rFonts w:hint="default" w:ascii="Times New Roman" w:hAnsi="Times New Roman" w:eastAsia="仿宋_GB2312" w:cs="Times New Roman"/>
          <w:color w:val="auto"/>
          <w:spacing w:val="-6"/>
          <w:kern w:val="2"/>
          <w:sz w:val="32"/>
          <w:szCs w:val="20"/>
          <w:u w:color="000000"/>
          <w:lang w:val="en-US" w:eastAsia="zh-CN" w:bidi="ar-SA"/>
        </w:rPr>
        <w:t>及设备安全</w:t>
      </w:r>
      <w:r>
        <w:rPr>
          <w:rFonts w:hint="default" w:ascii="Times New Roman" w:hAnsi="Times New Roman" w:cs="Times New Roman"/>
          <w:color w:val="auto"/>
          <w:spacing w:val="-6"/>
          <w:kern w:val="2"/>
          <w:sz w:val="32"/>
          <w:szCs w:val="20"/>
          <w:u w:color="000000"/>
          <w:lang w:val="en-US" w:eastAsia="zh-CN" w:bidi="ar-SA"/>
        </w:rPr>
        <w:t>。</w:t>
      </w:r>
    </w:p>
    <w:p w14:paraId="16F431CC">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8.在实际操作竞赛过程中，</w:t>
      </w:r>
      <w:r>
        <w:rPr>
          <w:rFonts w:hint="eastAsia" w:cs="Times New Roman"/>
          <w:color w:val="auto"/>
          <w:spacing w:val="-6"/>
          <w:kern w:val="2"/>
          <w:sz w:val="32"/>
          <w:szCs w:val="20"/>
          <w:u w:color="000000"/>
          <w:lang w:val="en-US" w:eastAsia="zh-CN" w:bidi="ar-SA"/>
        </w:rPr>
        <w:t>裁判员</w:t>
      </w:r>
      <w:r>
        <w:rPr>
          <w:rFonts w:hint="default" w:ascii="Times New Roman" w:hAnsi="Times New Roman" w:eastAsia="仿宋_GB2312" w:cs="Times New Roman"/>
          <w:color w:val="auto"/>
          <w:spacing w:val="-6"/>
          <w:kern w:val="2"/>
          <w:sz w:val="32"/>
          <w:szCs w:val="20"/>
          <w:u w:color="000000"/>
          <w:lang w:val="en-US" w:eastAsia="zh-CN" w:bidi="ar-SA"/>
        </w:rPr>
        <w:t>应对每名参赛选手的各道工序认真记录，并填写评分表</w:t>
      </w:r>
      <w:r>
        <w:rPr>
          <w:rFonts w:hint="default" w:ascii="Times New Roman" w:hAnsi="Times New Roman" w:cs="Times New Roman"/>
          <w:color w:val="auto"/>
          <w:spacing w:val="-6"/>
          <w:kern w:val="2"/>
          <w:sz w:val="32"/>
          <w:szCs w:val="20"/>
          <w:u w:color="000000"/>
          <w:lang w:val="en-US" w:eastAsia="zh-CN" w:bidi="ar-SA"/>
        </w:rPr>
        <w:t>。</w:t>
      </w:r>
    </w:p>
    <w:p w14:paraId="30DC4251">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9.比赛过程中如果出现安全事故，</w:t>
      </w:r>
      <w:r>
        <w:rPr>
          <w:rFonts w:hint="eastAsia" w:cs="Times New Roman"/>
          <w:color w:val="auto"/>
          <w:spacing w:val="-6"/>
          <w:kern w:val="2"/>
          <w:sz w:val="32"/>
          <w:szCs w:val="20"/>
          <w:u w:color="000000"/>
          <w:lang w:val="en-US" w:eastAsia="zh-CN" w:bidi="ar-SA"/>
        </w:rPr>
        <w:t>裁判员</w:t>
      </w:r>
      <w:r>
        <w:rPr>
          <w:rFonts w:hint="default" w:ascii="Times New Roman" w:hAnsi="Times New Roman" w:eastAsia="仿宋_GB2312" w:cs="Times New Roman"/>
          <w:color w:val="auto"/>
          <w:spacing w:val="-6"/>
          <w:kern w:val="2"/>
          <w:sz w:val="32"/>
          <w:szCs w:val="20"/>
          <w:u w:color="000000"/>
          <w:lang w:val="en-US" w:eastAsia="zh-CN" w:bidi="ar-SA"/>
        </w:rPr>
        <w:t>应立即中止竞赛。如查实事故责任属参赛选手，</w:t>
      </w:r>
      <w:r>
        <w:rPr>
          <w:rFonts w:hint="eastAsia" w:cs="Times New Roman"/>
          <w:color w:val="auto"/>
          <w:spacing w:val="-6"/>
          <w:kern w:val="2"/>
          <w:sz w:val="32"/>
          <w:szCs w:val="20"/>
          <w:u w:color="000000"/>
          <w:lang w:val="en-US" w:eastAsia="zh-CN" w:bidi="ar-SA"/>
        </w:rPr>
        <w:t>则</w:t>
      </w:r>
      <w:r>
        <w:rPr>
          <w:rFonts w:hint="default" w:ascii="Times New Roman" w:hAnsi="Times New Roman" w:eastAsia="仿宋_GB2312" w:cs="Times New Roman"/>
          <w:color w:val="auto"/>
          <w:spacing w:val="-6"/>
          <w:kern w:val="2"/>
          <w:sz w:val="32"/>
          <w:szCs w:val="20"/>
          <w:u w:color="000000"/>
          <w:lang w:val="en-US" w:eastAsia="zh-CN" w:bidi="ar-SA"/>
        </w:rPr>
        <w:t>取消参赛选手竞赛资格。</w:t>
      </w:r>
    </w:p>
    <w:p w14:paraId="29901146">
      <w:pPr>
        <w:spacing w:line="560" w:lineRule="exact"/>
        <w:ind w:firstLine="680" w:firstLineChars="200"/>
        <w:jc w:val="both"/>
        <w:rPr>
          <w:rFonts w:hint="default" w:ascii="Times New Roman" w:hAnsi="Times New Roman" w:eastAsia="楷体_GB2312" w:cs="Times New Roman"/>
          <w:color w:val="auto"/>
        </w:rPr>
      </w:pPr>
      <w:r>
        <w:rPr>
          <w:rFonts w:hint="default" w:ascii="Times New Roman" w:hAnsi="Times New Roman" w:eastAsia="楷体_GB2312" w:cs="Times New Roman"/>
          <w:color w:val="auto"/>
        </w:rPr>
        <w:t>（三）赛场规则</w:t>
      </w:r>
    </w:p>
    <w:p w14:paraId="55BCB14D">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1.各类赛务人员必须统一佩戴由竞赛执委会签发的相应证件，着装整齐</w:t>
      </w:r>
      <w:r>
        <w:rPr>
          <w:rFonts w:hint="default" w:ascii="Times New Roman" w:hAnsi="Times New Roman" w:cs="Times New Roman"/>
          <w:color w:val="auto"/>
          <w:spacing w:val="-6"/>
          <w:kern w:val="2"/>
          <w:sz w:val="32"/>
          <w:szCs w:val="20"/>
          <w:u w:color="000000"/>
          <w:lang w:val="en-US" w:eastAsia="zh-CN" w:bidi="ar-SA"/>
        </w:rPr>
        <w:t>。</w:t>
      </w:r>
    </w:p>
    <w:p w14:paraId="791A67AE">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2.各赛场除现场</w:t>
      </w:r>
      <w:r>
        <w:rPr>
          <w:rFonts w:hint="eastAsia" w:cs="Times New Roman"/>
          <w:color w:val="auto"/>
          <w:spacing w:val="-6"/>
          <w:kern w:val="2"/>
          <w:sz w:val="32"/>
          <w:szCs w:val="20"/>
          <w:u w:color="000000"/>
          <w:lang w:val="en-US" w:eastAsia="zh-CN" w:bidi="ar-SA"/>
        </w:rPr>
        <w:t>裁判员</w:t>
      </w:r>
      <w:r>
        <w:rPr>
          <w:rFonts w:hint="default" w:ascii="Times New Roman" w:hAnsi="Times New Roman" w:eastAsia="仿宋_GB2312" w:cs="Times New Roman"/>
          <w:color w:val="auto"/>
          <w:spacing w:val="-6"/>
          <w:kern w:val="2"/>
          <w:sz w:val="32"/>
          <w:szCs w:val="20"/>
          <w:u w:color="000000"/>
          <w:lang w:val="en-US" w:eastAsia="zh-CN" w:bidi="ar-SA"/>
        </w:rPr>
        <w:t>、赛场配备的工作人员以外，其他人员未经允许不得进入赛场</w:t>
      </w:r>
      <w:r>
        <w:rPr>
          <w:rFonts w:hint="default" w:ascii="Times New Roman" w:hAnsi="Times New Roman" w:cs="Times New Roman"/>
          <w:color w:val="auto"/>
          <w:spacing w:val="-6"/>
          <w:kern w:val="2"/>
          <w:sz w:val="32"/>
          <w:szCs w:val="20"/>
          <w:u w:color="000000"/>
          <w:lang w:val="en-US" w:eastAsia="zh-CN" w:bidi="ar-SA"/>
        </w:rPr>
        <w:t>。</w:t>
      </w:r>
    </w:p>
    <w:p w14:paraId="4F389FC7">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3.新闻媒体等进入赛场必须经过竞赛执委会允许，并且听从现场工作人员的安排和管理，不能影响竞赛进行</w:t>
      </w:r>
      <w:r>
        <w:rPr>
          <w:rFonts w:hint="default" w:ascii="Times New Roman" w:hAnsi="Times New Roman" w:cs="Times New Roman"/>
          <w:color w:val="auto"/>
          <w:spacing w:val="-6"/>
          <w:kern w:val="2"/>
          <w:sz w:val="32"/>
          <w:szCs w:val="20"/>
          <w:u w:color="000000"/>
          <w:lang w:val="en-US" w:eastAsia="zh-CN" w:bidi="ar-SA"/>
        </w:rPr>
        <w:t>。</w:t>
      </w:r>
    </w:p>
    <w:p w14:paraId="0FBDCEC7">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4.各参赛队的领队、指导老师以及随行人员一律不得进入赛场</w:t>
      </w:r>
      <w:r>
        <w:rPr>
          <w:rFonts w:hint="default" w:ascii="Times New Roman" w:hAnsi="Times New Roman" w:cs="Times New Roman"/>
          <w:color w:val="auto"/>
          <w:spacing w:val="-6"/>
          <w:kern w:val="2"/>
          <w:sz w:val="32"/>
          <w:szCs w:val="20"/>
          <w:u w:color="000000"/>
          <w:lang w:val="en-US" w:eastAsia="zh-CN" w:bidi="ar-SA"/>
        </w:rPr>
        <w:t>。</w:t>
      </w:r>
    </w:p>
    <w:p w14:paraId="6BBCF4E0">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5.参赛选手在竞赛期间未经竞赛执委会批准</w:t>
      </w:r>
      <w:r>
        <w:rPr>
          <w:rFonts w:hint="eastAsia" w:cs="Times New Roman"/>
          <w:color w:val="auto"/>
          <w:spacing w:val="-6"/>
          <w:kern w:val="2"/>
          <w:sz w:val="32"/>
          <w:szCs w:val="20"/>
          <w:u w:color="000000"/>
          <w:lang w:val="en-US" w:eastAsia="zh-CN" w:bidi="ar-SA"/>
        </w:rPr>
        <w:t>，</w:t>
      </w:r>
      <w:r>
        <w:rPr>
          <w:rFonts w:hint="default" w:ascii="Times New Roman" w:hAnsi="Times New Roman" w:eastAsia="仿宋_GB2312" w:cs="Times New Roman"/>
          <w:color w:val="auto"/>
          <w:spacing w:val="-6"/>
          <w:kern w:val="2"/>
          <w:sz w:val="32"/>
          <w:szCs w:val="20"/>
          <w:u w:color="000000"/>
          <w:lang w:val="en-US" w:eastAsia="zh-CN" w:bidi="ar-SA"/>
        </w:rPr>
        <w:t>不得</w:t>
      </w:r>
      <w:r>
        <w:rPr>
          <w:rFonts w:hint="eastAsia" w:cs="Times New Roman"/>
          <w:color w:val="auto"/>
          <w:spacing w:val="-6"/>
          <w:kern w:val="2"/>
          <w:sz w:val="32"/>
          <w:szCs w:val="20"/>
          <w:u w:color="000000"/>
          <w:lang w:val="en-US" w:eastAsia="zh-CN" w:bidi="ar-SA"/>
        </w:rPr>
        <w:t>私自接受</w:t>
      </w:r>
      <w:r>
        <w:rPr>
          <w:rFonts w:hint="default" w:ascii="Times New Roman" w:hAnsi="Times New Roman" w:eastAsia="仿宋_GB2312" w:cs="Times New Roman"/>
          <w:color w:val="auto"/>
          <w:spacing w:val="-6"/>
          <w:kern w:val="2"/>
          <w:sz w:val="32"/>
          <w:szCs w:val="20"/>
          <w:u w:color="000000"/>
          <w:lang w:val="en-US" w:eastAsia="zh-CN" w:bidi="ar-SA"/>
        </w:rPr>
        <w:t>与竞赛内容相关的采访。</w:t>
      </w:r>
    </w:p>
    <w:p w14:paraId="10D1AF4E">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6.参赛选手不得私自公布竞赛的相关资料。</w:t>
      </w:r>
    </w:p>
    <w:p w14:paraId="15973621">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7.参赛选手在竞赛过程中必须主动配合</w:t>
      </w:r>
      <w:r>
        <w:rPr>
          <w:rFonts w:hint="eastAsia" w:cs="Times New Roman"/>
          <w:color w:val="auto"/>
          <w:spacing w:val="-6"/>
          <w:kern w:val="2"/>
          <w:sz w:val="32"/>
          <w:szCs w:val="20"/>
          <w:u w:color="000000"/>
          <w:lang w:val="en-US" w:eastAsia="zh-CN" w:bidi="ar-SA"/>
        </w:rPr>
        <w:t>裁判员</w:t>
      </w:r>
      <w:r>
        <w:rPr>
          <w:rFonts w:hint="default" w:ascii="Times New Roman" w:hAnsi="Times New Roman" w:eastAsia="仿宋_GB2312" w:cs="Times New Roman"/>
          <w:color w:val="auto"/>
          <w:spacing w:val="-6"/>
          <w:kern w:val="2"/>
          <w:sz w:val="32"/>
          <w:szCs w:val="20"/>
          <w:u w:color="000000"/>
          <w:lang w:val="en-US" w:eastAsia="zh-CN" w:bidi="ar-SA"/>
        </w:rPr>
        <w:t>的工作，服从</w:t>
      </w:r>
      <w:r>
        <w:rPr>
          <w:rFonts w:hint="eastAsia" w:cs="Times New Roman"/>
          <w:color w:val="auto"/>
          <w:spacing w:val="-6"/>
          <w:kern w:val="2"/>
          <w:sz w:val="32"/>
          <w:szCs w:val="20"/>
          <w:u w:color="000000"/>
          <w:lang w:val="en-US" w:eastAsia="zh-CN" w:bidi="ar-SA"/>
        </w:rPr>
        <w:t>裁判员</w:t>
      </w:r>
      <w:r>
        <w:rPr>
          <w:rFonts w:hint="default" w:ascii="Times New Roman" w:hAnsi="Times New Roman" w:eastAsia="仿宋_GB2312" w:cs="Times New Roman"/>
          <w:color w:val="auto"/>
          <w:spacing w:val="-6"/>
          <w:kern w:val="2"/>
          <w:sz w:val="32"/>
          <w:szCs w:val="20"/>
          <w:u w:color="000000"/>
          <w:lang w:val="en-US" w:eastAsia="zh-CN" w:bidi="ar-SA"/>
        </w:rPr>
        <w:t>安排，如对竞赛的裁决有异议，可按照规定以书面形式向</w:t>
      </w:r>
      <w:r>
        <w:rPr>
          <w:rFonts w:hint="default" w:ascii="Times New Roman" w:hAnsi="Times New Roman" w:cs="Times New Roman"/>
          <w:color w:val="auto"/>
          <w:spacing w:val="-6"/>
          <w:kern w:val="2"/>
          <w:sz w:val="32"/>
          <w:szCs w:val="20"/>
          <w:u w:color="000000"/>
          <w:lang w:val="en-US" w:eastAsia="zh-CN" w:bidi="ar-SA"/>
        </w:rPr>
        <w:t>申诉受理组</w:t>
      </w:r>
      <w:r>
        <w:rPr>
          <w:rFonts w:hint="default" w:ascii="Times New Roman" w:hAnsi="Times New Roman" w:eastAsia="仿宋_GB2312" w:cs="Times New Roman"/>
          <w:color w:val="auto"/>
          <w:spacing w:val="-6"/>
          <w:kern w:val="2"/>
          <w:sz w:val="32"/>
          <w:szCs w:val="20"/>
          <w:u w:color="000000"/>
          <w:lang w:val="en-US" w:eastAsia="zh-CN" w:bidi="ar-SA"/>
        </w:rPr>
        <w:t>提出申诉。</w:t>
      </w:r>
    </w:p>
    <w:p w14:paraId="2B35059A">
      <w:pPr>
        <w:spacing w:line="560" w:lineRule="exact"/>
        <w:ind w:firstLine="680" w:firstLineChars="200"/>
        <w:jc w:val="both"/>
        <w:rPr>
          <w:rFonts w:hint="default" w:ascii="Times New Roman" w:hAnsi="Times New Roman" w:eastAsia="楷体_GB2312" w:cs="Times New Roman"/>
          <w:color w:val="auto"/>
        </w:rPr>
      </w:pPr>
      <w:r>
        <w:rPr>
          <w:rFonts w:hint="default" w:ascii="Times New Roman" w:hAnsi="Times New Roman" w:eastAsia="楷体_GB2312" w:cs="Times New Roman"/>
          <w:color w:val="auto"/>
        </w:rPr>
        <w:t>（</w:t>
      </w:r>
      <w:r>
        <w:rPr>
          <w:rFonts w:hint="default" w:ascii="Times New Roman" w:hAnsi="Times New Roman" w:eastAsia="楷体_GB2312" w:cs="Times New Roman"/>
          <w:color w:val="auto"/>
          <w:lang w:val="en-US" w:eastAsia="zh-CN"/>
        </w:rPr>
        <w:t>四</w:t>
      </w:r>
      <w:r>
        <w:rPr>
          <w:rFonts w:hint="default" w:ascii="Times New Roman" w:hAnsi="Times New Roman" w:eastAsia="楷体_GB2312" w:cs="Times New Roman"/>
          <w:color w:val="auto"/>
        </w:rPr>
        <w:t>）赛事安全要求</w:t>
      </w:r>
    </w:p>
    <w:p w14:paraId="7906114F">
      <w:pPr>
        <w:spacing w:line="560" w:lineRule="exact"/>
        <w:ind w:firstLine="680" w:firstLineChars="200"/>
        <w:rPr>
          <w:rFonts w:hint="default" w:ascii="Times New Roman" w:hAnsi="Times New Roman" w:cs="Times New Roman"/>
          <w:szCs w:val="32"/>
        </w:rPr>
      </w:pPr>
      <w:r>
        <w:rPr>
          <w:rFonts w:hint="default" w:ascii="Times New Roman" w:hAnsi="Times New Roman" w:cs="Times New Roman"/>
          <w:szCs w:val="32"/>
        </w:rPr>
        <w:t>由于决赛实际操作竞赛涉及使用工具，</w:t>
      </w:r>
      <w:r>
        <w:rPr>
          <w:szCs w:val="32"/>
        </w:rPr>
        <w:t>决赛场地配有常规药</w:t>
      </w:r>
      <w:r>
        <w:rPr>
          <w:rFonts w:hint="eastAsia"/>
          <w:szCs w:val="32"/>
          <w:lang w:eastAsia="zh-CN"/>
        </w:rPr>
        <w:t>，并</w:t>
      </w:r>
      <w:r>
        <w:rPr>
          <w:szCs w:val="32"/>
        </w:rPr>
        <w:t>设有安全防卫人员，负责竞赛期间安全事务。主要包括检查竞赛场地及其周围环境的安全防卫；制定紧急应对方案；督导竞赛场地用电等相关安全问题；分析和处理安全突发事件等工作。</w:t>
      </w:r>
    </w:p>
    <w:p w14:paraId="3027CC90">
      <w:pPr>
        <w:spacing w:line="560" w:lineRule="exact"/>
        <w:ind w:firstLine="680" w:firstLineChars="200"/>
        <w:jc w:val="both"/>
        <w:rPr>
          <w:rFonts w:hint="default" w:ascii="Times New Roman" w:hAnsi="Times New Roman" w:eastAsia="黑体" w:cs="Times New Roman"/>
        </w:rPr>
      </w:pPr>
      <w:r>
        <w:rPr>
          <w:rFonts w:hint="default" w:ascii="Times New Roman" w:hAnsi="Times New Roman" w:eastAsia="黑体" w:cs="Times New Roman"/>
        </w:rPr>
        <w:t>六、其他</w:t>
      </w:r>
    </w:p>
    <w:p w14:paraId="4CA834FB">
      <w:pPr>
        <w:spacing w:line="560" w:lineRule="exact"/>
        <w:ind w:firstLine="680" w:firstLineChars="200"/>
        <w:jc w:val="both"/>
        <w:rPr>
          <w:rFonts w:hint="default" w:ascii="Times New Roman" w:hAnsi="Times New Roman" w:eastAsia="仿宋_GB2312" w:cs="Times New Roman"/>
          <w:color w:val="auto"/>
          <w:spacing w:val="-6"/>
          <w:kern w:val="2"/>
          <w:sz w:val="32"/>
          <w:szCs w:val="20"/>
          <w:u w:color="000000"/>
          <w:lang w:val="en-US" w:eastAsia="zh-CN" w:bidi="ar-SA"/>
        </w:rPr>
      </w:pPr>
      <w:r>
        <w:rPr>
          <w:rFonts w:hint="default" w:ascii="Times New Roman" w:hAnsi="Times New Roman" w:eastAsia="仿宋_GB2312" w:cs="Times New Roman"/>
          <w:color w:val="auto"/>
          <w:spacing w:val="-6"/>
          <w:kern w:val="2"/>
          <w:sz w:val="32"/>
          <w:szCs w:val="20"/>
          <w:u w:color="000000"/>
          <w:lang w:val="en-US" w:eastAsia="zh-CN" w:bidi="ar-SA"/>
        </w:rPr>
        <w:t>本技术方案条款的最终解释权归</w:t>
      </w:r>
      <w:r>
        <w:rPr>
          <w:rFonts w:hint="eastAsia" w:cs="Times New Roman"/>
          <w:color w:val="auto"/>
          <w:spacing w:val="-6"/>
          <w:kern w:val="2"/>
          <w:sz w:val="32"/>
          <w:szCs w:val="20"/>
          <w:u w:color="000000"/>
          <w:lang w:val="en-US" w:eastAsia="zh-CN" w:bidi="ar-SA"/>
        </w:rPr>
        <w:t>深圳市第十六届职工技术创新运动会暨2026年深圳技能大赛</w:t>
      </w:r>
      <w:r>
        <w:rPr>
          <w:rFonts w:hint="default" w:ascii="Times New Roman" w:hAnsi="Times New Roman" w:eastAsia="仿宋_GB2312" w:cs="Times New Roman"/>
          <w:color w:val="auto"/>
          <w:spacing w:val="-6"/>
          <w:kern w:val="2"/>
          <w:sz w:val="32"/>
          <w:szCs w:val="20"/>
          <w:u w:color="000000"/>
          <w:lang w:val="en-US" w:eastAsia="zh-CN" w:bidi="ar-SA"/>
        </w:rPr>
        <w:t>——</w:t>
      </w:r>
      <w:r>
        <w:rPr>
          <w:rFonts w:hint="eastAsia" w:cs="Times New Roman"/>
          <w:color w:val="auto"/>
          <w:spacing w:val="-6"/>
          <w:kern w:val="2"/>
          <w:sz w:val="32"/>
          <w:szCs w:val="20"/>
          <w:u w:color="000000"/>
          <w:lang w:val="en-US" w:eastAsia="zh-CN" w:bidi="ar-SA"/>
        </w:rPr>
        <w:t>环境监测员</w:t>
      </w:r>
      <w:r>
        <w:rPr>
          <w:rFonts w:hint="default" w:ascii="Times New Roman" w:hAnsi="Times New Roman" w:eastAsia="仿宋_GB2312" w:cs="Times New Roman"/>
          <w:color w:val="auto"/>
          <w:spacing w:val="-6"/>
          <w:kern w:val="2"/>
          <w:sz w:val="32"/>
          <w:szCs w:val="20"/>
          <w:u w:color="000000"/>
          <w:lang w:val="en-US" w:eastAsia="zh-CN" w:bidi="ar-SA"/>
        </w:rPr>
        <w:t>技能竞赛</w:t>
      </w:r>
      <w:r>
        <w:rPr>
          <w:rFonts w:hint="default" w:ascii="Times New Roman" w:hAnsi="Times New Roman" w:cs="Times New Roman"/>
          <w:color w:val="auto"/>
          <w:spacing w:val="-6"/>
          <w:kern w:val="2"/>
          <w:sz w:val="32"/>
          <w:szCs w:val="20"/>
          <w:u w:color="000000"/>
          <w:lang w:val="en-US" w:eastAsia="zh-CN" w:bidi="ar-SA"/>
        </w:rPr>
        <w:t>执行委员会</w:t>
      </w:r>
      <w:r>
        <w:rPr>
          <w:rFonts w:hint="default" w:ascii="Times New Roman" w:hAnsi="Times New Roman" w:eastAsia="仿宋_GB2312" w:cs="Times New Roman"/>
          <w:color w:val="auto"/>
          <w:spacing w:val="-6"/>
          <w:kern w:val="2"/>
          <w:sz w:val="32"/>
          <w:szCs w:val="20"/>
          <w:u w:color="000000"/>
          <w:lang w:val="en-US" w:eastAsia="zh-CN" w:bidi="ar-SA"/>
        </w:rPr>
        <w:t>所有。</w:t>
      </w:r>
    </w:p>
    <w:p w14:paraId="688D6270">
      <w:pPr>
        <w:keepNext w:val="0"/>
        <w:keepLines w:val="0"/>
        <w:pageBreakBefore w:val="0"/>
        <w:widowControl w:val="0"/>
        <w:kinsoku/>
        <w:overflowPunct/>
        <w:topLinePunct w:val="0"/>
        <w:autoSpaceDE/>
        <w:autoSpaceDN/>
        <w:bidi w:val="0"/>
        <w:spacing w:line="560" w:lineRule="exact"/>
        <w:textAlignment w:val="auto"/>
        <w:rPr>
          <w:rFonts w:hint="default" w:ascii="Times New Roman" w:hAnsi="Times New Roman" w:cs="Times New Roman"/>
        </w:rPr>
      </w:pPr>
    </w:p>
    <w:sectPr>
      <w:footerReference r:id="rId5" w:type="default"/>
      <w:footerReference r:id="rId6" w:type="even"/>
      <w:pgSz w:w="11906" w:h="16838"/>
      <w:pgMar w:top="2041" w:right="1474" w:bottom="1474" w:left="1588" w:header="851" w:footer="850" w:gutter="0"/>
      <w:pgNumType w:fmt="decimal"/>
      <w:cols w:space="0" w:num="1"/>
      <w:titlePg/>
      <w:rtlGutter w:val="0"/>
      <w:docGrid w:type="linesAndChars" w:linePitch="574" w:charSpace="65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B3E95C-ECD9-4D08-BE78-E7D71148BE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AA40E06-8403-406B-A55E-E5A04C0539FF}"/>
  </w:font>
  <w:font w:name="仿宋_GB2312">
    <w:panose1 w:val="02010609030101010101"/>
    <w:charset w:val="86"/>
    <w:family w:val="modern"/>
    <w:pitch w:val="default"/>
    <w:sig w:usb0="00000001" w:usb1="080E0000" w:usb2="00000000" w:usb3="00000000" w:csb0="00040000" w:csb1="00000000"/>
    <w:embedRegular r:id="rId3" w:fontKey="{198F4922-41A8-4E84-964D-E25793366B31}"/>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4" w:fontKey="{97D8FCCE-C1BD-4045-A163-3BE27DA11269}"/>
  </w:font>
  <w:font w:name="楷体_GB2312">
    <w:altName w:val="楷体"/>
    <w:panose1 w:val="02010609030101010101"/>
    <w:charset w:val="86"/>
    <w:family w:val="modern"/>
    <w:pitch w:val="default"/>
    <w:sig w:usb0="00000000" w:usb1="00000000" w:usb2="00000000" w:usb3="00000000" w:csb0="00040000" w:csb1="00000000"/>
    <w:embedRegular r:id="rId5" w:fontKey="{84D49D52-8BE4-42F0-83B4-C8AB8CA3EF63}"/>
  </w:font>
  <w:font w:name="楷体">
    <w:panose1 w:val="02010609060101010101"/>
    <w:charset w:val="86"/>
    <w:family w:val="auto"/>
    <w:pitch w:val="default"/>
    <w:sig w:usb0="8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A597C">
    <w:pPr>
      <w:pStyle w:val="8"/>
      <w:wordWrap w:val="0"/>
      <w:spacing w:line="420" w:lineRule="auto"/>
      <w:ind w:right="308" w:rightChars="100"/>
      <w:jc w:val="right"/>
      <w:rPr>
        <w:rFonts w:hint="eastAsia" w:ascii="楷体_GB2312" w:eastAsia="楷体_GB2312"/>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12EE70">
                          <w:pPr>
                            <w:pStyle w:val="8"/>
                            <w:wordWrap w:val="0"/>
                            <w:spacing w:line="420" w:lineRule="auto"/>
                            <w:ind w:right="308" w:rightChars="100"/>
                            <w:jc w:val="right"/>
                          </w:pPr>
                          <w:r>
                            <w:rPr>
                              <w:rStyle w:val="14"/>
                              <w:rFonts w:hint="eastAsia" w:ascii="宋体" w:hAnsi="宋体" w:eastAsia="宋体"/>
                              <w:sz w:val="28"/>
                            </w:rPr>
                            <w:t xml:space="preserve">— </w:t>
                          </w:r>
                          <w:r>
                            <w:rPr>
                              <w:rFonts w:hint="eastAsia" w:ascii="宋体" w:hAnsi="宋体" w:eastAsia="宋体"/>
                              <w:sz w:val="28"/>
                            </w:rPr>
                            <w:fldChar w:fldCharType="begin"/>
                          </w:r>
                          <w:r>
                            <w:rPr>
                              <w:rStyle w:val="14"/>
                              <w:rFonts w:hint="eastAsia" w:ascii="宋体" w:hAnsi="宋体" w:eastAsia="宋体"/>
                              <w:sz w:val="28"/>
                            </w:rPr>
                            <w:instrText xml:space="preserve"> PAGE </w:instrText>
                          </w:r>
                          <w:r>
                            <w:rPr>
                              <w:rFonts w:hint="eastAsia" w:ascii="宋体" w:hAnsi="宋体" w:eastAsia="宋体"/>
                              <w:sz w:val="28"/>
                            </w:rPr>
                            <w:fldChar w:fldCharType="separate"/>
                          </w:r>
                          <w:r>
                            <w:rPr>
                              <w:rStyle w:val="14"/>
                              <w:rFonts w:ascii="宋体" w:hAnsi="宋体" w:eastAsia="宋体"/>
                              <w:sz w:val="28"/>
                            </w:rPr>
                            <w:t>5</w:t>
                          </w:r>
                          <w:r>
                            <w:rPr>
                              <w:rFonts w:hint="eastAsia" w:ascii="宋体" w:hAnsi="宋体" w:eastAsia="宋体"/>
                              <w:sz w:val="28"/>
                            </w:rPr>
                            <w:fldChar w:fldCharType="end"/>
                          </w:r>
                          <w:r>
                            <w:rPr>
                              <w:rFonts w:hint="eastAsia" w:ascii="宋体" w:hAnsi="宋体" w:eastAsia="宋体"/>
                              <w:sz w:val="28"/>
                            </w:rPr>
                            <w:t xml:space="preserve"> </w:t>
                          </w:r>
                          <w:r>
                            <w:rPr>
                              <w:rStyle w:val="14"/>
                              <w:rFonts w:hint="eastAsia"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12EE70">
                    <w:pPr>
                      <w:pStyle w:val="8"/>
                      <w:wordWrap w:val="0"/>
                      <w:spacing w:line="420" w:lineRule="auto"/>
                      <w:ind w:right="308" w:rightChars="100"/>
                      <w:jc w:val="right"/>
                    </w:pPr>
                    <w:r>
                      <w:rPr>
                        <w:rStyle w:val="14"/>
                        <w:rFonts w:hint="eastAsia" w:ascii="宋体" w:hAnsi="宋体" w:eastAsia="宋体"/>
                        <w:sz w:val="28"/>
                      </w:rPr>
                      <w:t xml:space="preserve">— </w:t>
                    </w:r>
                    <w:r>
                      <w:rPr>
                        <w:rFonts w:hint="eastAsia" w:ascii="宋体" w:hAnsi="宋体" w:eastAsia="宋体"/>
                        <w:sz w:val="28"/>
                      </w:rPr>
                      <w:fldChar w:fldCharType="begin"/>
                    </w:r>
                    <w:r>
                      <w:rPr>
                        <w:rStyle w:val="14"/>
                        <w:rFonts w:hint="eastAsia" w:ascii="宋体" w:hAnsi="宋体" w:eastAsia="宋体"/>
                        <w:sz w:val="28"/>
                      </w:rPr>
                      <w:instrText xml:space="preserve"> PAGE </w:instrText>
                    </w:r>
                    <w:r>
                      <w:rPr>
                        <w:rFonts w:hint="eastAsia" w:ascii="宋体" w:hAnsi="宋体" w:eastAsia="宋体"/>
                        <w:sz w:val="28"/>
                      </w:rPr>
                      <w:fldChar w:fldCharType="separate"/>
                    </w:r>
                    <w:r>
                      <w:rPr>
                        <w:rStyle w:val="14"/>
                        <w:rFonts w:ascii="宋体" w:hAnsi="宋体" w:eastAsia="宋体"/>
                        <w:sz w:val="28"/>
                      </w:rPr>
                      <w:t>5</w:t>
                    </w:r>
                    <w:r>
                      <w:rPr>
                        <w:rFonts w:hint="eastAsia" w:ascii="宋体" w:hAnsi="宋体" w:eastAsia="宋体"/>
                        <w:sz w:val="28"/>
                      </w:rPr>
                      <w:fldChar w:fldCharType="end"/>
                    </w:r>
                    <w:r>
                      <w:rPr>
                        <w:rFonts w:hint="eastAsia" w:ascii="宋体" w:hAnsi="宋体" w:eastAsia="宋体"/>
                        <w:sz w:val="28"/>
                      </w:rPr>
                      <w:t xml:space="preserve"> </w:t>
                    </w:r>
                    <w:r>
                      <w:rPr>
                        <w:rStyle w:val="14"/>
                        <w:rFonts w:hint="eastAsia"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413DB">
    <w:pPr>
      <w:pStyle w:val="8"/>
      <w:spacing w:line="420" w:lineRule="auto"/>
      <w:ind w:left="308" w:leftChars="100"/>
      <w:rPr>
        <w:rStyle w:val="14"/>
        <w:rFonts w:hint="eastAsia" w:ascii="宋体" w:hAnsi="宋体" w:eastAsia="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0466FF">
                          <w:pPr>
                            <w:pStyle w:val="8"/>
                            <w:spacing w:line="420" w:lineRule="auto"/>
                            <w:ind w:left="308" w:leftChars="100"/>
                          </w:pPr>
                          <w:r>
                            <w:rPr>
                              <w:rStyle w:val="14"/>
                              <w:rFonts w:hint="eastAsia" w:ascii="宋体" w:hAnsi="宋体" w:eastAsia="宋体"/>
                              <w:sz w:val="28"/>
                            </w:rPr>
                            <w:t xml:space="preserve">— </w:t>
                          </w:r>
                          <w:r>
                            <w:rPr>
                              <w:rFonts w:hint="eastAsia" w:ascii="宋体" w:hAnsi="宋体" w:eastAsia="宋体"/>
                              <w:sz w:val="28"/>
                            </w:rPr>
                            <w:fldChar w:fldCharType="begin"/>
                          </w:r>
                          <w:r>
                            <w:rPr>
                              <w:rStyle w:val="14"/>
                              <w:rFonts w:hint="eastAsia" w:ascii="宋体" w:hAnsi="宋体" w:eastAsia="宋体"/>
                              <w:sz w:val="28"/>
                            </w:rPr>
                            <w:instrText xml:space="preserve"> PAGE </w:instrText>
                          </w:r>
                          <w:r>
                            <w:rPr>
                              <w:rFonts w:hint="eastAsia" w:ascii="宋体" w:hAnsi="宋体" w:eastAsia="宋体"/>
                              <w:sz w:val="28"/>
                            </w:rPr>
                            <w:fldChar w:fldCharType="separate"/>
                          </w:r>
                          <w:r>
                            <w:rPr>
                              <w:rStyle w:val="14"/>
                              <w:rFonts w:ascii="宋体" w:hAnsi="宋体" w:eastAsia="宋体"/>
                              <w:sz w:val="28"/>
                            </w:rPr>
                            <w:t>4</w:t>
                          </w:r>
                          <w:r>
                            <w:rPr>
                              <w:rFonts w:hint="eastAsia" w:ascii="宋体" w:hAnsi="宋体" w:eastAsia="宋体"/>
                              <w:sz w:val="28"/>
                            </w:rPr>
                            <w:fldChar w:fldCharType="end"/>
                          </w:r>
                          <w:r>
                            <w:rPr>
                              <w:rFonts w:hint="eastAsia" w:ascii="宋体" w:hAnsi="宋体" w:eastAsia="宋体"/>
                              <w:sz w:val="28"/>
                            </w:rPr>
                            <w:t xml:space="preserve"> </w:t>
                          </w:r>
                          <w:r>
                            <w:rPr>
                              <w:rStyle w:val="14"/>
                              <w:rFonts w:hint="eastAsia"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40466FF">
                    <w:pPr>
                      <w:pStyle w:val="8"/>
                      <w:spacing w:line="420" w:lineRule="auto"/>
                      <w:ind w:left="308" w:leftChars="100"/>
                    </w:pPr>
                    <w:r>
                      <w:rPr>
                        <w:rStyle w:val="14"/>
                        <w:rFonts w:hint="eastAsia" w:ascii="宋体" w:hAnsi="宋体" w:eastAsia="宋体"/>
                        <w:sz w:val="28"/>
                      </w:rPr>
                      <w:t xml:space="preserve">— </w:t>
                    </w:r>
                    <w:r>
                      <w:rPr>
                        <w:rFonts w:hint="eastAsia" w:ascii="宋体" w:hAnsi="宋体" w:eastAsia="宋体"/>
                        <w:sz w:val="28"/>
                      </w:rPr>
                      <w:fldChar w:fldCharType="begin"/>
                    </w:r>
                    <w:r>
                      <w:rPr>
                        <w:rStyle w:val="14"/>
                        <w:rFonts w:hint="eastAsia" w:ascii="宋体" w:hAnsi="宋体" w:eastAsia="宋体"/>
                        <w:sz w:val="28"/>
                      </w:rPr>
                      <w:instrText xml:space="preserve"> PAGE </w:instrText>
                    </w:r>
                    <w:r>
                      <w:rPr>
                        <w:rFonts w:hint="eastAsia" w:ascii="宋体" w:hAnsi="宋体" w:eastAsia="宋体"/>
                        <w:sz w:val="28"/>
                      </w:rPr>
                      <w:fldChar w:fldCharType="separate"/>
                    </w:r>
                    <w:r>
                      <w:rPr>
                        <w:rStyle w:val="14"/>
                        <w:rFonts w:ascii="宋体" w:hAnsi="宋体" w:eastAsia="宋体"/>
                        <w:sz w:val="28"/>
                      </w:rPr>
                      <w:t>4</w:t>
                    </w:r>
                    <w:r>
                      <w:rPr>
                        <w:rFonts w:hint="eastAsia" w:ascii="宋体" w:hAnsi="宋体" w:eastAsia="宋体"/>
                        <w:sz w:val="28"/>
                      </w:rPr>
                      <w:fldChar w:fldCharType="end"/>
                    </w:r>
                    <w:r>
                      <w:rPr>
                        <w:rFonts w:hint="eastAsia" w:ascii="宋体" w:hAnsi="宋体" w:eastAsia="宋体"/>
                        <w:sz w:val="28"/>
                      </w:rPr>
                      <w:t xml:space="preserve"> </w:t>
                    </w:r>
                    <w:r>
                      <w:rPr>
                        <w:rStyle w:val="14"/>
                        <w:rFonts w:hint="eastAsia"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07E79"/>
    <w:multiLevelType w:val="singleLevel"/>
    <w:tmpl w:val="BDF07E79"/>
    <w:lvl w:ilvl="0" w:tentative="0">
      <w:start w:val="1"/>
      <w:numFmt w:val="decimal"/>
      <w:lvlText w:val="%1."/>
      <w:lvlJc w:val="left"/>
      <w:pPr>
        <w:tabs>
          <w:tab w:val="left" w:pos="312"/>
        </w:tabs>
      </w:pPr>
    </w:lvl>
  </w:abstractNum>
  <w:abstractNum w:abstractNumId="1">
    <w:nsid w:val="1CA86193"/>
    <w:multiLevelType w:val="singleLevel"/>
    <w:tmpl w:val="1CA86193"/>
    <w:lvl w:ilvl="0" w:tentative="0">
      <w:start w:val="2"/>
      <w:numFmt w:val="decimal"/>
      <w:suff w:val="nothing"/>
      <w:lvlText w:val="（%1）"/>
      <w:lvlJc w:val="left"/>
    </w:lvl>
  </w:abstractNum>
  <w:abstractNum w:abstractNumId="2">
    <w:nsid w:val="543646FC"/>
    <w:multiLevelType w:val="singleLevel"/>
    <w:tmpl w:val="543646FC"/>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evenAndOddHeaders w:val="1"/>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wNDQyY2M3MjM2OTAxZWE3M2FiZWM5ZWUwMDQ4MDEifQ=="/>
  </w:docVars>
  <w:rsids>
    <w:rsidRoot w:val="77973A32"/>
    <w:rsid w:val="00A67C17"/>
    <w:rsid w:val="01094F7C"/>
    <w:rsid w:val="018F5AEC"/>
    <w:rsid w:val="02CC4364"/>
    <w:rsid w:val="02DD0CCF"/>
    <w:rsid w:val="04F75026"/>
    <w:rsid w:val="082D0D5E"/>
    <w:rsid w:val="087D5FE3"/>
    <w:rsid w:val="08EB10B9"/>
    <w:rsid w:val="0983115A"/>
    <w:rsid w:val="09AE662A"/>
    <w:rsid w:val="09EB3755"/>
    <w:rsid w:val="0A1C03EA"/>
    <w:rsid w:val="0AA73886"/>
    <w:rsid w:val="0AF53184"/>
    <w:rsid w:val="0C1D6E1E"/>
    <w:rsid w:val="0C1D77DF"/>
    <w:rsid w:val="0C336CC3"/>
    <w:rsid w:val="0C970E9C"/>
    <w:rsid w:val="0E6D3995"/>
    <w:rsid w:val="0ECD0572"/>
    <w:rsid w:val="0F753717"/>
    <w:rsid w:val="0FB36066"/>
    <w:rsid w:val="10135E4F"/>
    <w:rsid w:val="10D97D9C"/>
    <w:rsid w:val="116C6D9B"/>
    <w:rsid w:val="13FF3EF7"/>
    <w:rsid w:val="142716DD"/>
    <w:rsid w:val="14910FCB"/>
    <w:rsid w:val="1528102A"/>
    <w:rsid w:val="153A6940"/>
    <w:rsid w:val="1551164C"/>
    <w:rsid w:val="158E7E03"/>
    <w:rsid w:val="15D47469"/>
    <w:rsid w:val="1614559F"/>
    <w:rsid w:val="16704C38"/>
    <w:rsid w:val="175F262D"/>
    <w:rsid w:val="176302F9"/>
    <w:rsid w:val="17D24BA3"/>
    <w:rsid w:val="185145F5"/>
    <w:rsid w:val="18707171"/>
    <w:rsid w:val="1A524D25"/>
    <w:rsid w:val="1AD06879"/>
    <w:rsid w:val="1B2F0483"/>
    <w:rsid w:val="1BFF02BD"/>
    <w:rsid w:val="1C145120"/>
    <w:rsid w:val="1C874967"/>
    <w:rsid w:val="1CA173F5"/>
    <w:rsid w:val="1CF77B97"/>
    <w:rsid w:val="1D3A5FA0"/>
    <w:rsid w:val="1E3E561C"/>
    <w:rsid w:val="1E921AB4"/>
    <w:rsid w:val="1EC13EEE"/>
    <w:rsid w:val="1ECE6289"/>
    <w:rsid w:val="1EFA59E6"/>
    <w:rsid w:val="1F0C1276"/>
    <w:rsid w:val="1F85210F"/>
    <w:rsid w:val="1F86727A"/>
    <w:rsid w:val="1F884DA0"/>
    <w:rsid w:val="21770FE8"/>
    <w:rsid w:val="21EE7F72"/>
    <w:rsid w:val="22B931C6"/>
    <w:rsid w:val="22EF0AFD"/>
    <w:rsid w:val="23275DF3"/>
    <w:rsid w:val="239A05F5"/>
    <w:rsid w:val="24B36508"/>
    <w:rsid w:val="25655EF8"/>
    <w:rsid w:val="2581737E"/>
    <w:rsid w:val="26CB1A16"/>
    <w:rsid w:val="27E86394"/>
    <w:rsid w:val="2992544F"/>
    <w:rsid w:val="29F130EF"/>
    <w:rsid w:val="2BC03B14"/>
    <w:rsid w:val="2E1B3283"/>
    <w:rsid w:val="2F104114"/>
    <w:rsid w:val="2F2919D0"/>
    <w:rsid w:val="2F5C4B13"/>
    <w:rsid w:val="30B11C7D"/>
    <w:rsid w:val="311E5564"/>
    <w:rsid w:val="326B34F8"/>
    <w:rsid w:val="331D4FF2"/>
    <w:rsid w:val="335E07FC"/>
    <w:rsid w:val="33883169"/>
    <w:rsid w:val="33DC262C"/>
    <w:rsid w:val="33E87A9C"/>
    <w:rsid w:val="34230879"/>
    <w:rsid w:val="345B1995"/>
    <w:rsid w:val="36994D55"/>
    <w:rsid w:val="36FA73BD"/>
    <w:rsid w:val="38EB65B9"/>
    <w:rsid w:val="39157A57"/>
    <w:rsid w:val="39D95ADD"/>
    <w:rsid w:val="3AC74153"/>
    <w:rsid w:val="3AE526D2"/>
    <w:rsid w:val="3BC6E1B2"/>
    <w:rsid w:val="3C3B6FA3"/>
    <w:rsid w:val="3C65026E"/>
    <w:rsid w:val="3E304B29"/>
    <w:rsid w:val="3E402A5F"/>
    <w:rsid w:val="3EEF40DF"/>
    <w:rsid w:val="42CE20FD"/>
    <w:rsid w:val="43FFE904"/>
    <w:rsid w:val="440C3942"/>
    <w:rsid w:val="441C0B05"/>
    <w:rsid w:val="44931374"/>
    <w:rsid w:val="45FB4D7A"/>
    <w:rsid w:val="46CB7AEA"/>
    <w:rsid w:val="46EE02D5"/>
    <w:rsid w:val="473B4270"/>
    <w:rsid w:val="47613FA5"/>
    <w:rsid w:val="48102E0A"/>
    <w:rsid w:val="489130C1"/>
    <w:rsid w:val="48DC09EC"/>
    <w:rsid w:val="48FD1AAC"/>
    <w:rsid w:val="49044BE8"/>
    <w:rsid w:val="4A1F624D"/>
    <w:rsid w:val="4AF929ED"/>
    <w:rsid w:val="4B885FA4"/>
    <w:rsid w:val="4BB74194"/>
    <w:rsid w:val="4C0346A3"/>
    <w:rsid w:val="4C350E18"/>
    <w:rsid w:val="4DB05BF7"/>
    <w:rsid w:val="4DBB5612"/>
    <w:rsid w:val="4ECC7F56"/>
    <w:rsid w:val="4F337FD5"/>
    <w:rsid w:val="4FFE20CD"/>
    <w:rsid w:val="505146A5"/>
    <w:rsid w:val="50C83AEA"/>
    <w:rsid w:val="516E3547"/>
    <w:rsid w:val="51B573C7"/>
    <w:rsid w:val="521B2D56"/>
    <w:rsid w:val="522B7EBA"/>
    <w:rsid w:val="53513B25"/>
    <w:rsid w:val="547C3DF1"/>
    <w:rsid w:val="547E10EB"/>
    <w:rsid w:val="55C013B1"/>
    <w:rsid w:val="55E2784D"/>
    <w:rsid w:val="55FA6F1B"/>
    <w:rsid w:val="562468CA"/>
    <w:rsid w:val="56980293"/>
    <w:rsid w:val="57C1194A"/>
    <w:rsid w:val="585D60C3"/>
    <w:rsid w:val="58C779E0"/>
    <w:rsid w:val="5A43120C"/>
    <w:rsid w:val="5A7760B6"/>
    <w:rsid w:val="5B4E6197"/>
    <w:rsid w:val="5B935C47"/>
    <w:rsid w:val="5CEF25F2"/>
    <w:rsid w:val="5D071864"/>
    <w:rsid w:val="5DAA4E7B"/>
    <w:rsid w:val="605F00A6"/>
    <w:rsid w:val="60874625"/>
    <w:rsid w:val="6098238E"/>
    <w:rsid w:val="622D70C7"/>
    <w:rsid w:val="62A35339"/>
    <w:rsid w:val="62F31AFE"/>
    <w:rsid w:val="63064795"/>
    <w:rsid w:val="64662EA7"/>
    <w:rsid w:val="64B835D6"/>
    <w:rsid w:val="650C50F9"/>
    <w:rsid w:val="65C34CC5"/>
    <w:rsid w:val="65CB3162"/>
    <w:rsid w:val="666502D8"/>
    <w:rsid w:val="6771036C"/>
    <w:rsid w:val="67AC6157"/>
    <w:rsid w:val="67AE06E9"/>
    <w:rsid w:val="681A2119"/>
    <w:rsid w:val="6905258B"/>
    <w:rsid w:val="69E76134"/>
    <w:rsid w:val="6A0C3FBA"/>
    <w:rsid w:val="6A6456EA"/>
    <w:rsid w:val="6B737982"/>
    <w:rsid w:val="6C412F1E"/>
    <w:rsid w:val="6D107750"/>
    <w:rsid w:val="6D747CDF"/>
    <w:rsid w:val="6DFC5615"/>
    <w:rsid w:val="6E313E22"/>
    <w:rsid w:val="6ECB0F40"/>
    <w:rsid w:val="6ED24CBD"/>
    <w:rsid w:val="6EF32E85"/>
    <w:rsid w:val="6F9E485D"/>
    <w:rsid w:val="71F25357"/>
    <w:rsid w:val="73E72AD8"/>
    <w:rsid w:val="75A657CB"/>
    <w:rsid w:val="76452218"/>
    <w:rsid w:val="76880357"/>
    <w:rsid w:val="76A038F3"/>
    <w:rsid w:val="76B4114C"/>
    <w:rsid w:val="77973A32"/>
    <w:rsid w:val="78D1250D"/>
    <w:rsid w:val="78FD297D"/>
    <w:rsid w:val="79AA1FF1"/>
    <w:rsid w:val="7A5E792A"/>
    <w:rsid w:val="7ADB6C0F"/>
    <w:rsid w:val="7AFB8B49"/>
    <w:rsid w:val="7B7A0BB6"/>
    <w:rsid w:val="7BAE260E"/>
    <w:rsid w:val="7C236E34"/>
    <w:rsid w:val="7C6111B7"/>
    <w:rsid w:val="7D3036DB"/>
    <w:rsid w:val="7D394892"/>
    <w:rsid w:val="7DCFA8A0"/>
    <w:rsid w:val="7DED2C3F"/>
    <w:rsid w:val="7E8B4A57"/>
    <w:rsid w:val="7EE9736E"/>
    <w:rsid w:val="7FCB7C32"/>
    <w:rsid w:val="7FEE4D08"/>
    <w:rsid w:val="7FF70975"/>
    <w:rsid w:val="7FF9E26F"/>
    <w:rsid w:val="A7F5DD21"/>
    <w:rsid w:val="BAFCA705"/>
    <w:rsid w:val="BDD5ECDA"/>
    <w:rsid w:val="BEFD7B63"/>
    <w:rsid w:val="BFFE4C6F"/>
    <w:rsid w:val="D5BD802B"/>
    <w:rsid w:val="DC7C4D67"/>
    <w:rsid w:val="DCEDE25C"/>
    <w:rsid w:val="DFC7C3E9"/>
    <w:rsid w:val="EB7626A1"/>
    <w:rsid w:val="EDBD6ED6"/>
    <w:rsid w:val="EDEF0D94"/>
    <w:rsid w:val="EF41C278"/>
    <w:rsid w:val="EFBB3781"/>
    <w:rsid w:val="F4F75086"/>
    <w:rsid w:val="FC7DF135"/>
    <w:rsid w:val="FDF7AA88"/>
    <w:rsid w:val="FFDF335C"/>
    <w:rsid w:val="FFE7A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3">
    <w:name w:val="heading 2"/>
    <w:basedOn w:val="1"/>
    <w:next w:val="1"/>
    <w:unhideWhenUsed/>
    <w:qFormat/>
    <w:uiPriority w:val="0"/>
    <w:pPr>
      <w:keepNext/>
      <w:keepLines/>
      <w:spacing w:line="413" w:lineRule="auto"/>
      <w:outlineLvl w:val="1"/>
    </w:pPr>
    <w:rPr>
      <w:rFonts w:ascii="Arial" w:hAnsi="Arial" w:eastAsia="黑体"/>
      <w:b/>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4">
    <w:name w:val="index 8"/>
    <w:basedOn w:val="1"/>
    <w:next w:val="1"/>
    <w:qFormat/>
    <w:uiPriority w:val="0"/>
    <w:pPr>
      <w:ind w:left="1400" w:leftChars="1400"/>
    </w:pPr>
  </w:style>
  <w:style w:type="paragraph" w:styleId="5">
    <w:name w:val="index 5"/>
    <w:basedOn w:val="1"/>
    <w:next w:val="1"/>
    <w:qFormat/>
    <w:uiPriority w:val="0"/>
    <w:pPr>
      <w:ind w:left="1680"/>
    </w:pPr>
  </w:style>
  <w:style w:type="paragraph" w:styleId="6">
    <w:name w:val="annotation text"/>
    <w:basedOn w:val="1"/>
    <w:qFormat/>
    <w:uiPriority w:val="0"/>
    <w:pPr>
      <w:jc w:val="left"/>
    </w:pPr>
  </w:style>
  <w:style w:type="paragraph" w:styleId="7">
    <w:name w:val="Plain Text"/>
    <w:basedOn w:val="1"/>
    <w:next w:val="4"/>
    <w:qFormat/>
    <w:uiPriority w:val="0"/>
    <w:pPr>
      <w:spacing w:line="240" w:lineRule="auto"/>
    </w:pPr>
    <w:rPr>
      <w:rFonts w:ascii="宋体" w:hAnsi="Courier New" w:eastAsia="宋体"/>
      <w:spacing w:val="0"/>
      <w:sz w:val="21"/>
      <w:szCs w:val="21"/>
    </w:rPr>
  </w:style>
  <w:style w:type="paragraph" w:styleId="8">
    <w:name w:val="footer"/>
    <w:basedOn w:val="1"/>
    <w:qFormat/>
    <w:uiPriority w:val="99"/>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First Indent"/>
    <w:basedOn w:val="2"/>
    <w:qFormat/>
    <w:uiPriority w:val="0"/>
    <w:pPr>
      <w:spacing w:line="560" w:lineRule="exact"/>
      <w:ind w:firstLine="721" w:firstLineChars="200"/>
    </w:pPr>
    <w:rPr>
      <w:rFonts w:ascii="Calibri"/>
    </w:rPr>
  </w:style>
  <w:style w:type="table" w:styleId="12">
    <w:name w:val="Table Grid"/>
    <w:basedOn w:val="11"/>
    <w:qFormat/>
    <w:uiPriority w:val="0"/>
    <w:pPr>
      <w:widowControl w:val="0"/>
      <w:spacing w:line="240" w:lineRule="atLeast"/>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Hyperlink"/>
    <w:basedOn w:val="13"/>
    <w:qFormat/>
    <w:uiPriority w:val="0"/>
    <w:rPr>
      <w:color w:val="0000FF"/>
      <w:u w:val="single"/>
    </w:rPr>
  </w:style>
  <w:style w:type="character" w:styleId="16">
    <w:name w:val="annotation reference"/>
    <w:qFormat/>
    <w:uiPriority w:val="0"/>
    <w:rPr>
      <w:sz w:val="21"/>
      <w:szCs w:val="21"/>
    </w:rPr>
  </w:style>
  <w:style w:type="character" w:customStyle="1" w:styleId="17">
    <w:name w:val="h11"/>
    <w:qFormat/>
    <w:uiPriority w:val="0"/>
    <w:rPr>
      <w:rFonts w:hint="default"/>
      <w:color w:val="000000"/>
      <w:sz w:val="21"/>
      <w:szCs w:val="21"/>
    </w:rPr>
  </w:style>
  <w:style w:type="paragraph" w:styleId="18">
    <w:name w:val="List Paragraph"/>
    <w:basedOn w:val="1"/>
    <w:qFormat/>
    <w:uiPriority w:val="99"/>
    <w:pPr>
      <w:ind w:firstLine="420" w:firstLineChars="200"/>
    </w:pPr>
  </w:style>
  <w:style w:type="paragraph" w:customStyle="1" w:styleId="19">
    <w:name w:val="BodyText1I2"/>
    <w:next w:val="1"/>
    <w:qFormat/>
    <w:uiPriority w:val="0"/>
    <w:pPr>
      <w:widowControl w:val="0"/>
      <w:ind w:firstLine="420" w:firstLineChars="200"/>
      <w:jc w:val="both"/>
      <w:textAlignment w:val="baseline"/>
    </w:pPr>
    <w:rPr>
      <w:rFonts w:ascii="Times New Roman" w:hAnsi="Times New Roman" w:eastAsia="宋体" w:cs="Times New Roman"/>
      <w:kern w:val="2"/>
      <w:sz w:val="32"/>
      <w:szCs w:val="32"/>
      <w:lang w:val="en-US" w:eastAsia="zh-CN" w:bidi="ar-SA"/>
    </w:rPr>
  </w:style>
  <w:style w:type="paragraph" w:customStyle="1" w:styleId="20">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1">
    <w:name w:val="列出段落1"/>
    <w:basedOn w:val="1"/>
    <w:qFormat/>
    <w:uiPriority w:val="0"/>
    <w:pPr>
      <w:spacing w:line="240" w:lineRule="auto"/>
      <w:ind w:firstLine="200" w:firstLineChars="200"/>
    </w:pPr>
    <w:rPr>
      <w:rFonts w:eastAsia="宋体"/>
      <w:spacing w:val="0"/>
      <w:sz w:val="21"/>
      <w:szCs w:val="21"/>
    </w:rPr>
  </w:style>
  <w:style w:type="paragraph" w:customStyle="1" w:styleId="22">
    <w:name w:val="Table Text"/>
    <w:basedOn w:val="1"/>
    <w:semiHidden/>
    <w:qFormat/>
    <w:uiPriority w:val="0"/>
    <w:rPr>
      <w:rFonts w:ascii="仿宋" w:hAnsi="仿宋" w:eastAsia="仿宋" w:cs="仿宋"/>
      <w:sz w:val="24"/>
      <w:szCs w:val="24"/>
      <w:lang w:val="en-US" w:eastAsia="en-US" w:bidi="ar-SA"/>
    </w:rPr>
  </w:style>
  <w:style w:type="table" w:customStyle="1" w:styleId="2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1971</Words>
  <Characters>2046</Characters>
  <Lines>0</Lines>
  <Paragraphs>0</Paragraphs>
  <TotalTime>3</TotalTime>
  <ScaleCrop>false</ScaleCrop>
  <LinksUpToDate>false</LinksUpToDate>
  <CharactersWithSpaces>2058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2022-08-21T06:53:00Z</dcterms:created>
  <dc:creator>yj</dc:creator>
  <cp:lastModifiedBy>bǎo boa</cp:lastModifiedBy>
  <cp:lastPrinted>2024-07-02T02:05:00Z</cp:lastPrinted>
  <dcterms:modified xsi:type="dcterms:W3CDTF">2026-08-04T08:47:07Z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C9DCA36190244C4BA14F0A831E57D4A8_13</vt:lpwstr>
  </property>
  <property fmtid="{D5CDD505-2E9C-101B-9397-08002B2CF9AE}" pid="4" name="KSOTemplateDocerSaveRecord">
    <vt:lpwstr>eyJoZGlkIjoiZjA4YTNkZTE2ZjkwNjMwZTAzM2E3NjI2NWIwYmYxN2QiLCJ1c2VySWQiOiIyMjM4MTE5NjMifQ==</vt:lpwstr>
  </property>
</Properties>
</file>